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3CB" w:rsidRPr="00BE5943" w:rsidRDefault="001123CB" w:rsidP="00CF6515">
      <w:pPr>
        <w:widowControl w:val="0"/>
        <w:autoSpaceDE w:val="0"/>
        <w:autoSpaceDN w:val="0"/>
        <w:adjustRightInd w:val="0"/>
        <w:ind w:left="-567" w:right="-567"/>
        <w:jc w:val="center"/>
        <w:rPr>
          <w:rFonts w:asciiTheme="majorHAnsi" w:hAnsiTheme="majorHAnsi" w:cstheme="majorHAnsi"/>
          <w:b/>
          <w:bCs/>
          <w:sz w:val="28"/>
          <w:szCs w:val="28"/>
        </w:rPr>
      </w:pPr>
    </w:p>
    <w:p w:rsidR="00F17C39" w:rsidRDefault="00F17C39" w:rsidP="009730E9">
      <w:pPr>
        <w:widowControl w:val="0"/>
        <w:autoSpaceDE w:val="0"/>
        <w:autoSpaceDN w:val="0"/>
        <w:adjustRightInd w:val="0"/>
        <w:ind w:left="-567" w:right="-567"/>
        <w:jc w:val="center"/>
        <w:rPr>
          <w:rFonts w:ascii="Calibri" w:hAnsi="Calibri" w:cs="Calibri"/>
          <w:b/>
          <w:sz w:val="28"/>
          <w:szCs w:val="28"/>
        </w:rPr>
      </w:pPr>
    </w:p>
    <w:p w:rsidR="0049087C" w:rsidRPr="008E6A61" w:rsidRDefault="009730E9" w:rsidP="009730E9">
      <w:pPr>
        <w:widowControl w:val="0"/>
        <w:autoSpaceDE w:val="0"/>
        <w:autoSpaceDN w:val="0"/>
        <w:adjustRightInd w:val="0"/>
        <w:ind w:left="-567" w:right="-567"/>
        <w:jc w:val="center"/>
        <w:rPr>
          <w:rFonts w:asciiTheme="majorHAnsi" w:hAnsiTheme="majorHAnsi" w:cstheme="majorHAnsi"/>
          <w:b/>
          <w:sz w:val="28"/>
          <w:szCs w:val="28"/>
        </w:rPr>
      </w:pPr>
      <w:r w:rsidRPr="008E6A61">
        <w:rPr>
          <w:rFonts w:asciiTheme="majorHAnsi" w:hAnsiTheme="majorHAnsi" w:cstheme="majorHAnsi"/>
          <w:b/>
          <w:sz w:val="28"/>
          <w:szCs w:val="28"/>
        </w:rPr>
        <w:t>Farnell element14 ergänzt IoT-Hub um lokalisierte Inhalte und zusätzliche Ressourcen</w:t>
      </w:r>
    </w:p>
    <w:p w:rsidR="009730E9" w:rsidRPr="00BE5943" w:rsidRDefault="009730E9" w:rsidP="00CF6515">
      <w:pPr>
        <w:widowControl w:val="0"/>
        <w:autoSpaceDE w:val="0"/>
        <w:autoSpaceDN w:val="0"/>
        <w:adjustRightInd w:val="0"/>
        <w:ind w:left="-567" w:right="-567"/>
        <w:rPr>
          <w:rFonts w:asciiTheme="majorHAnsi" w:hAnsiTheme="majorHAnsi" w:cstheme="majorHAnsi"/>
          <w:sz w:val="22"/>
          <w:szCs w:val="22"/>
        </w:rPr>
      </w:pPr>
    </w:p>
    <w:p w:rsidR="0049087C" w:rsidRPr="008F611A" w:rsidRDefault="007F5D36" w:rsidP="00CF6515">
      <w:pPr>
        <w:widowControl w:val="0"/>
        <w:autoSpaceDE w:val="0"/>
        <w:autoSpaceDN w:val="0"/>
        <w:adjustRightInd w:val="0"/>
        <w:ind w:left="-567" w:right="-567"/>
        <w:rPr>
          <w:rFonts w:asciiTheme="majorHAnsi" w:hAnsiTheme="majorHAnsi" w:cstheme="majorHAnsi"/>
          <w:sz w:val="22"/>
          <w:szCs w:val="22"/>
        </w:rPr>
      </w:pPr>
      <w:r w:rsidRPr="008F611A">
        <w:rPr>
          <w:rFonts w:asciiTheme="majorHAnsi" w:hAnsiTheme="majorHAnsi" w:cstheme="majorHAnsi"/>
          <w:b/>
          <w:sz w:val="22"/>
          <w:szCs w:val="22"/>
        </w:rPr>
        <w:t xml:space="preserve">London, Vereinigtes Königreich, </w:t>
      </w:r>
      <w:r w:rsidR="00F17C39" w:rsidRPr="008F611A">
        <w:rPr>
          <w:rFonts w:asciiTheme="majorHAnsi" w:hAnsiTheme="majorHAnsi" w:cstheme="majorHAnsi"/>
          <w:b/>
          <w:sz w:val="22"/>
          <w:szCs w:val="22"/>
        </w:rPr>
        <w:t>7</w:t>
      </w:r>
      <w:r w:rsidRPr="008F611A">
        <w:rPr>
          <w:rFonts w:asciiTheme="majorHAnsi" w:hAnsiTheme="majorHAnsi" w:cstheme="majorHAnsi"/>
          <w:b/>
          <w:sz w:val="22"/>
          <w:szCs w:val="22"/>
        </w:rPr>
        <w:t xml:space="preserve"> November 2017 </w:t>
      </w:r>
      <w:r w:rsidRPr="008F611A">
        <w:rPr>
          <w:rFonts w:asciiTheme="majorHAnsi" w:hAnsiTheme="majorHAnsi" w:cstheme="majorHAnsi"/>
          <w:sz w:val="22"/>
          <w:szCs w:val="22"/>
        </w:rPr>
        <w:t xml:space="preserve">– Farnell element14, der Development Distributor, bietet Benutzern des </w:t>
      </w:r>
      <w:hyperlink r:id="rId8" w:history="1">
        <w:r w:rsidRPr="008F611A">
          <w:rPr>
            <w:rStyle w:val="Hyperlink"/>
            <w:rFonts w:asciiTheme="majorHAnsi" w:hAnsiTheme="majorHAnsi" w:cstheme="majorHAnsi"/>
            <w:sz w:val="22"/>
            <w:szCs w:val="22"/>
          </w:rPr>
          <w:t>IoT-Hubs</w:t>
        </w:r>
      </w:hyperlink>
      <w:r w:rsidRPr="008F611A">
        <w:rPr>
          <w:rFonts w:asciiTheme="majorHAnsi" w:hAnsiTheme="majorHAnsi" w:cstheme="majorHAnsi"/>
          <w:sz w:val="22"/>
          <w:szCs w:val="22"/>
        </w:rPr>
        <w:t>, einer Webseite des Unternehmens mit Nachrichten und Fachartikeln aus dem IoT-Bereich, ab sofort auch in verschiedenen Sprachen an. Zudem wurde die Seite um zahlreiche neue Inhalte ergänzt.</w:t>
      </w:r>
    </w:p>
    <w:p w:rsidR="00780835" w:rsidRPr="008F611A" w:rsidRDefault="00780835" w:rsidP="00CF6515">
      <w:pPr>
        <w:widowControl w:val="0"/>
        <w:autoSpaceDE w:val="0"/>
        <w:autoSpaceDN w:val="0"/>
        <w:adjustRightInd w:val="0"/>
        <w:ind w:left="-567" w:right="-567"/>
        <w:rPr>
          <w:rFonts w:asciiTheme="majorHAnsi" w:hAnsiTheme="majorHAnsi" w:cstheme="majorHAnsi"/>
          <w:sz w:val="22"/>
          <w:szCs w:val="22"/>
        </w:rPr>
      </w:pPr>
    </w:p>
    <w:p w:rsidR="00780835" w:rsidRPr="008F611A" w:rsidRDefault="009730E9" w:rsidP="00CF6515">
      <w:pPr>
        <w:widowControl w:val="0"/>
        <w:autoSpaceDE w:val="0"/>
        <w:autoSpaceDN w:val="0"/>
        <w:adjustRightInd w:val="0"/>
        <w:ind w:left="-567" w:right="-567"/>
        <w:rPr>
          <w:rFonts w:asciiTheme="majorHAnsi" w:eastAsia="MS Mincho" w:hAnsiTheme="majorHAnsi" w:cstheme="majorHAnsi"/>
          <w:sz w:val="22"/>
          <w:szCs w:val="22"/>
        </w:rPr>
      </w:pPr>
      <w:r w:rsidRPr="008F611A">
        <w:rPr>
          <w:rFonts w:asciiTheme="majorHAnsi" w:hAnsiTheme="majorHAnsi" w:cstheme="majorHAnsi"/>
          <w:sz w:val="22"/>
          <w:szCs w:val="22"/>
        </w:rPr>
        <w:t>Der IoT-Hub, dessen Inhalte bisher nur in englischer Sprache erhältlich waren, ist ab sofort auch auf Polnisch, Deutsch und Französisch verfügbar.  Die in die jeweilige Landesprache übersetzten Inhalte finden Benutzer nun auf den lokalen Webseiten des Unternehmens für Polen, Deutschland, Österreich, Frankreich und die Schweiz.</w:t>
      </w:r>
    </w:p>
    <w:p w:rsidR="009730E9" w:rsidRPr="008F611A" w:rsidRDefault="009730E9" w:rsidP="00CF6515">
      <w:pPr>
        <w:widowControl w:val="0"/>
        <w:autoSpaceDE w:val="0"/>
        <w:autoSpaceDN w:val="0"/>
        <w:adjustRightInd w:val="0"/>
        <w:ind w:left="-567" w:right="-567"/>
        <w:rPr>
          <w:rFonts w:asciiTheme="majorHAnsi" w:eastAsia="MS Mincho" w:hAnsiTheme="majorHAnsi" w:cstheme="majorHAnsi"/>
          <w:sz w:val="22"/>
          <w:szCs w:val="22"/>
        </w:rPr>
      </w:pPr>
    </w:p>
    <w:p w:rsidR="00780835" w:rsidRPr="008F611A" w:rsidRDefault="009730E9" w:rsidP="00CF6515">
      <w:pPr>
        <w:widowControl w:val="0"/>
        <w:autoSpaceDE w:val="0"/>
        <w:autoSpaceDN w:val="0"/>
        <w:adjustRightInd w:val="0"/>
        <w:ind w:left="-567" w:right="-567"/>
        <w:rPr>
          <w:rFonts w:asciiTheme="majorHAnsi" w:eastAsia="MS Mincho" w:hAnsiTheme="majorHAnsi" w:cstheme="majorHAnsi"/>
          <w:sz w:val="22"/>
          <w:szCs w:val="22"/>
        </w:rPr>
      </w:pPr>
      <w:r w:rsidRPr="008F611A">
        <w:rPr>
          <w:rFonts w:asciiTheme="majorHAnsi" w:hAnsiTheme="majorHAnsi" w:cstheme="majorHAnsi"/>
          <w:sz w:val="22"/>
          <w:szCs w:val="22"/>
        </w:rPr>
        <w:t>„Mit der Übersetzung unserer Inhalte in verschiedene Sprachen lösen wir bei Farnell element14 unser Versprechen gegenüber unseren europäischen Kunden ein“, so</w:t>
      </w:r>
      <w:r w:rsidRPr="008F611A">
        <w:rPr>
          <w:rFonts w:asciiTheme="majorHAnsi" w:hAnsiTheme="majorHAnsi" w:cstheme="majorHAnsi"/>
          <w:b/>
          <w:sz w:val="22"/>
          <w:szCs w:val="22"/>
        </w:rPr>
        <w:t xml:space="preserve"> </w:t>
      </w:r>
      <w:r w:rsidR="00B3702A" w:rsidRPr="00B3702A">
        <w:rPr>
          <w:rFonts w:asciiTheme="majorHAnsi" w:hAnsiTheme="majorHAnsi" w:cstheme="majorHAnsi"/>
          <w:b/>
          <w:sz w:val="22"/>
          <w:szCs w:val="22"/>
        </w:rPr>
        <w:t xml:space="preserve">Steve Carr, Global Head of Marketing </w:t>
      </w:r>
      <w:bookmarkStart w:id="0" w:name="_Hlk497743304"/>
      <w:r w:rsidR="00B3702A" w:rsidRPr="00B3702A">
        <w:rPr>
          <w:rFonts w:asciiTheme="majorHAnsi" w:hAnsiTheme="majorHAnsi" w:cstheme="majorHAnsi"/>
          <w:b/>
          <w:sz w:val="22"/>
          <w:szCs w:val="22"/>
        </w:rPr>
        <w:t>for</w:t>
      </w:r>
      <w:bookmarkEnd w:id="0"/>
      <w:r w:rsidR="00B3702A" w:rsidRPr="00B3702A">
        <w:rPr>
          <w:rFonts w:asciiTheme="majorHAnsi" w:hAnsiTheme="majorHAnsi" w:cstheme="majorHAnsi"/>
          <w:b/>
          <w:sz w:val="22"/>
          <w:szCs w:val="22"/>
        </w:rPr>
        <w:t xml:space="preserve"> Premier Farnell</w:t>
      </w:r>
      <w:r w:rsidRPr="008F611A">
        <w:rPr>
          <w:rFonts w:asciiTheme="majorHAnsi" w:hAnsiTheme="majorHAnsi" w:cstheme="majorHAnsi"/>
          <w:b/>
          <w:sz w:val="22"/>
          <w:szCs w:val="22"/>
        </w:rPr>
        <w:t>.</w:t>
      </w:r>
      <w:r w:rsidRPr="008F611A">
        <w:rPr>
          <w:rFonts w:asciiTheme="majorHAnsi" w:hAnsiTheme="majorHAnsi" w:cstheme="majorHAnsi"/>
          <w:sz w:val="22"/>
          <w:szCs w:val="22"/>
        </w:rPr>
        <w:t xml:space="preserve"> „Das Internet der Dinge ist ein wichtiger Bestandteil unseres Geschäfts, weshalb wir auch in Zukunft weiter in diesen Bereich investieren werden.”</w:t>
      </w:r>
    </w:p>
    <w:p w:rsidR="009730E9" w:rsidRPr="008F611A" w:rsidRDefault="009730E9" w:rsidP="00CF6515">
      <w:pPr>
        <w:widowControl w:val="0"/>
        <w:autoSpaceDE w:val="0"/>
        <w:autoSpaceDN w:val="0"/>
        <w:adjustRightInd w:val="0"/>
        <w:ind w:left="-567" w:right="-567"/>
        <w:rPr>
          <w:rFonts w:asciiTheme="majorHAnsi" w:eastAsia="MS Mincho" w:hAnsiTheme="majorHAnsi" w:cstheme="majorHAnsi"/>
          <w:sz w:val="22"/>
          <w:szCs w:val="22"/>
        </w:rPr>
      </w:pPr>
    </w:p>
    <w:p w:rsidR="009730E9" w:rsidRPr="008F611A" w:rsidRDefault="009730E9" w:rsidP="009730E9">
      <w:pPr>
        <w:widowControl w:val="0"/>
        <w:autoSpaceDE w:val="0"/>
        <w:autoSpaceDN w:val="0"/>
        <w:adjustRightInd w:val="0"/>
        <w:ind w:left="-567" w:right="-567"/>
        <w:rPr>
          <w:rFonts w:asciiTheme="majorHAnsi" w:eastAsia="MS Mincho" w:hAnsiTheme="majorHAnsi" w:cstheme="majorHAnsi"/>
          <w:sz w:val="22"/>
          <w:szCs w:val="22"/>
        </w:rPr>
      </w:pPr>
      <w:r w:rsidRPr="008F611A">
        <w:rPr>
          <w:rFonts w:asciiTheme="majorHAnsi" w:hAnsiTheme="majorHAnsi" w:cstheme="majorHAnsi"/>
          <w:sz w:val="22"/>
          <w:szCs w:val="22"/>
        </w:rPr>
        <w:t>Zu den neuen im IoT-Hub verfügbaren Inhalten zählen:</w:t>
      </w:r>
    </w:p>
    <w:p w:rsidR="009730E9" w:rsidRPr="008F611A" w:rsidRDefault="009730E9" w:rsidP="009730E9">
      <w:pPr>
        <w:pStyle w:val="ListParagraph"/>
        <w:widowControl w:val="0"/>
        <w:numPr>
          <w:ilvl w:val="0"/>
          <w:numId w:val="6"/>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Drahtlose Lösungen: Teil 2 – Bluetooth</w:t>
      </w:r>
    </w:p>
    <w:p w:rsidR="009730E9" w:rsidRPr="008F611A" w:rsidRDefault="009730E9" w:rsidP="009730E9">
      <w:pPr>
        <w:pStyle w:val="ListParagraph"/>
        <w:widowControl w:val="0"/>
        <w:numPr>
          <w:ilvl w:val="0"/>
          <w:numId w:val="6"/>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Fragen und Antworten zu pureLiFi: Interview mit dem CEO von pureLiFi, Alistair Banham</w:t>
      </w:r>
    </w:p>
    <w:p w:rsidR="009730E9" w:rsidRPr="008F611A" w:rsidRDefault="009730E9" w:rsidP="009730E9">
      <w:pPr>
        <w:pStyle w:val="ListParagraph"/>
        <w:widowControl w:val="0"/>
        <w:numPr>
          <w:ilvl w:val="0"/>
          <w:numId w:val="6"/>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Entwicklungslösungen für das IoT: Ein Überblick über auf IoT-Anwendungen ausgerichtete Development Kits und Evaluationsmodule.</w:t>
      </w:r>
    </w:p>
    <w:p w:rsidR="00792374" w:rsidRPr="008F611A" w:rsidRDefault="00792374" w:rsidP="009730E9">
      <w:pPr>
        <w:pStyle w:val="ListParagraph"/>
        <w:widowControl w:val="0"/>
        <w:numPr>
          <w:ilvl w:val="0"/>
          <w:numId w:val="6"/>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Das Einmaleins des LoRaWAN: Ein Überblick über eine der interessantesten IoT-Technologien auf dem Markt</w:t>
      </w:r>
    </w:p>
    <w:p w:rsidR="009730E9" w:rsidRPr="008F611A" w:rsidRDefault="009730E9" w:rsidP="009730E9">
      <w:pPr>
        <w:widowControl w:val="0"/>
        <w:autoSpaceDE w:val="0"/>
        <w:autoSpaceDN w:val="0"/>
        <w:adjustRightInd w:val="0"/>
        <w:ind w:left="-567" w:right="-567"/>
        <w:rPr>
          <w:rFonts w:asciiTheme="majorHAnsi" w:eastAsia="MS Mincho" w:hAnsiTheme="majorHAnsi" w:cstheme="majorHAnsi"/>
          <w:sz w:val="22"/>
          <w:szCs w:val="22"/>
        </w:rPr>
      </w:pPr>
    </w:p>
    <w:p w:rsidR="009730E9" w:rsidRPr="008F611A" w:rsidRDefault="009730E9" w:rsidP="009730E9">
      <w:pPr>
        <w:widowControl w:val="0"/>
        <w:autoSpaceDE w:val="0"/>
        <w:autoSpaceDN w:val="0"/>
        <w:adjustRightInd w:val="0"/>
        <w:ind w:left="-567" w:right="-567"/>
        <w:rPr>
          <w:rFonts w:asciiTheme="majorHAnsi" w:eastAsia="MS Mincho" w:hAnsiTheme="majorHAnsi" w:cstheme="majorHAnsi"/>
          <w:sz w:val="22"/>
          <w:szCs w:val="22"/>
        </w:rPr>
      </w:pPr>
      <w:r w:rsidRPr="008F611A">
        <w:rPr>
          <w:rFonts w:asciiTheme="majorHAnsi" w:hAnsiTheme="majorHAnsi" w:cstheme="majorHAnsi"/>
          <w:sz w:val="22"/>
          <w:szCs w:val="22"/>
        </w:rPr>
        <w:t>Weitere Inhalte für den IoT-Hub sind bereits in Planung, darunter „Drahtlose Lösu</w:t>
      </w:r>
      <w:bookmarkStart w:id="1" w:name="_GoBack"/>
      <w:bookmarkEnd w:id="1"/>
      <w:r w:rsidRPr="008F611A">
        <w:rPr>
          <w:rFonts w:asciiTheme="majorHAnsi" w:hAnsiTheme="majorHAnsi" w:cstheme="majorHAnsi"/>
          <w:sz w:val="22"/>
          <w:szCs w:val="22"/>
        </w:rPr>
        <w:t>ngen: Teil 3 – Wi-Fi“, ein Artikel zu Xilinx sowie Fachartikel zu IoT-Anwendungen in der Lieferkette, im Verkehrswesen und in der Smart City.</w:t>
      </w:r>
    </w:p>
    <w:p w:rsidR="009730E9" w:rsidRPr="008F611A" w:rsidRDefault="009730E9" w:rsidP="009730E9">
      <w:pPr>
        <w:widowControl w:val="0"/>
        <w:autoSpaceDE w:val="0"/>
        <w:autoSpaceDN w:val="0"/>
        <w:adjustRightInd w:val="0"/>
        <w:ind w:left="-567" w:right="-567"/>
        <w:rPr>
          <w:rFonts w:asciiTheme="majorHAnsi" w:eastAsia="MS Mincho" w:hAnsiTheme="majorHAnsi" w:cstheme="majorHAnsi"/>
          <w:sz w:val="22"/>
          <w:szCs w:val="22"/>
        </w:rPr>
      </w:pPr>
    </w:p>
    <w:p w:rsidR="009730E9" w:rsidRPr="008F611A" w:rsidRDefault="009730E9" w:rsidP="009730E9">
      <w:pPr>
        <w:widowControl w:val="0"/>
        <w:autoSpaceDE w:val="0"/>
        <w:autoSpaceDN w:val="0"/>
        <w:adjustRightInd w:val="0"/>
        <w:ind w:left="-567" w:right="-567"/>
        <w:rPr>
          <w:rFonts w:asciiTheme="majorHAnsi" w:eastAsia="MS Mincho" w:hAnsiTheme="majorHAnsi" w:cstheme="majorHAnsi"/>
          <w:sz w:val="22"/>
          <w:szCs w:val="22"/>
        </w:rPr>
      </w:pPr>
      <w:r w:rsidRPr="008F611A">
        <w:rPr>
          <w:rFonts w:asciiTheme="majorHAnsi" w:hAnsiTheme="majorHAnsi" w:cstheme="majorHAnsi"/>
          <w:sz w:val="22"/>
          <w:szCs w:val="22"/>
        </w:rPr>
        <w:t>Diese Webseiten von Farnell element14 verfügen über eine lokalisierte Version des IoT-Hubs:</w:t>
      </w:r>
    </w:p>
    <w:p w:rsidR="009730E9" w:rsidRPr="008F611A" w:rsidRDefault="009730E9" w:rsidP="009730E9">
      <w:pPr>
        <w:pStyle w:val="ListParagraph"/>
        <w:widowControl w:val="0"/>
        <w:numPr>
          <w:ilvl w:val="0"/>
          <w:numId w:val="4"/>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 xml:space="preserve">Polen: </w:t>
      </w:r>
      <w:hyperlink r:id="rId9" w:history="1">
        <w:r w:rsidRPr="008F611A">
          <w:rPr>
            <w:rStyle w:val="Hyperlink"/>
            <w:rFonts w:asciiTheme="majorHAnsi" w:hAnsiTheme="majorHAnsi" w:cstheme="majorHAnsi"/>
            <w:sz w:val="22"/>
            <w:szCs w:val="22"/>
          </w:rPr>
          <w:t>http://pl.farnell.com/internet-of-things</w:t>
        </w:r>
      </w:hyperlink>
      <w:r w:rsidRPr="008F611A">
        <w:rPr>
          <w:rFonts w:asciiTheme="majorHAnsi" w:hAnsiTheme="majorHAnsi" w:cstheme="majorHAnsi"/>
          <w:sz w:val="22"/>
          <w:szCs w:val="22"/>
        </w:rPr>
        <w:t xml:space="preserve"> </w:t>
      </w:r>
    </w:p>
    <w:p w:rsidR="009730E9" w:rsidRPr="008F611A" w:rsidRDefault="009730E9" w:rsidP="009730E9">
      <w:pPr>
        <w:pStyle w:val="ListParagraph"/>
        <w:widowControl w:val="0"/>
        <w:numPr>
          <w:ilvl w:val="0"/>
          <w:numId w:val="4"/>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 xml:space="preserve">Deutschland: </w:t>
      </w:r>
      <w:hyperlink r:id="rId10" w:history="1">
        <w:r w:rsidRPr="008F611A">
          <w:rPr>
            <w:rStyle w:val="Hyperlink"/>
            <w:rFonts w:asciiTheme="majorHAnsi" w:hAnsiTheme="majorHAnsi" w:cstheme="majorHAnsi"/>
            <w:sz w:val="22"/>
            <w:szCs w:val="22"/>
          </w:rPr>
          <w:t>http://de.farnell.com/internet-of-things</w:t>
        </w:r>
      </w:hyperlink>
      <w:r w:rsidRPr="008F611A">
        <w:rPr>
          <w:rFonts w:asciiTheme="majorHAnsi" w:hAnsiTheme="majorHAnsi" w:cstheme="majorHAnsi"/>
          <w:sz w:val="22"/>
          <w:szCs w:val="22"/>
        </w:rPr>
        <w:t xml:space="preserve"> </w:t>
      </w:r>
    </w:p>
    <w:p w:rsidR="009730E9" w:rsidRPr="008F611A" w:rsidRDefault="009730E9" w:rsidP="009730E9">
      <w:pPr>
        <w:pStyle w:val="ListParagraph"/>
        <w:widowControl w:val="0"/>
        <w:numPr>
          <w:ilvl w:val="0"/>
          <w:numId w:val="4"/>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 xml:space="preserve">Österreich: </w:t>
      </w:r>
      <w:hyperlink r:id="rId11" w:history="1">
        <w:r w:rsidRPr="008F611A">
          <w:rPr>
            <w:rStyle w:val="Hyperlink"/>
            <w:rFonts w:asciiTheme="majorHAnsi" w:hAnsiTheme="majorHAnsi" w:cstheme="majorHAnsi"/>
            <w:sz w:val="22"/>
            <w:szCs w:val="22"/>
          </w:rPr>
          <w:t>http://at.farnell.com/internet-of-things</w:t>
        </w:r>
      </w:hyperlink>
      <w:r w:rsidRPr="008F611A">
        <w:rPr>
          <w:rFonts w:asciiTheme="majorHAnsi" w:hAnsiTheme="majorHAnsi" w:cstheme="majorHAnsi"/>
          <w:sz w:val="22"/>
          <w:szCs w:val="22"/>
        </w:rPr>
        <w:t xml:space="preserve">  </w:t>
      </w:r>
    </w:p>
    <w:p w:rsidR="009730E9" w:rsidRPr="008F611A" w:rsidRDefault="009730E9" w:rsidP="009730E9">
      <w:pPr>
        <w:pStyle w:val="ListParagraph"/>
        <w:widowControl w:val="0"/>
        <w:numPr>
          <w:ilvl w:val="0"/>
          <w:numId w:val="4"/>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 xml:space="preserve">Schweiz: </w:t>
      </w:r>
      <w:hyperlink r:id="rId12" w:history="1">
        <w:r w:rsidRPr="008F611A">
          <w:rPr>
            <w:rStyle w:val="Hyperlink"/>
            <w:rFonts w:asciiTheme="majorHAnsi" w:hAnsiTheme="majorHAnsi" w:cstheme="majorHAnsi"/>
            <w:sz w:val="22"/>
            <w:szCs w:val="22"/>
          </w:rPr>
          <w:t>http://ch.farnell.com/internet-of-things</w:t>
        </w:r>
      </w:hyperlink>
      <w:r w:rsidRPr="008F611A">
        <w:rPr>
          <w:rFonts w:asciiTheme="majorHAnsi" w:hAnsiTheme="majorHAnsi" w:cstheme="majorHAnsi"/>
          <w:sz w:val="22"/>
          <w:szCs w:val="22"/>
        </w:rPr>
        <w:t xml:space="preserve"> </w:t>
      </w:r>
    </w:p>
    <w:p w:rsidR="009730E9" w:rsidRPr="008F611A" w:rsidRDefault="009730E9" w:rsidP="009730E9">
      <w:pPr>
        <w:pStyle w:val="ListParagraph"/>
        <w:widowControl w:val="0"/>
        <w:numPr>
          <w:ilvl w:val="0"/>
          <w:numId w:val="4"/>
        </w:numPr>
        <w:autoSpaceDE w:val="0"/>
        <w:autoSpaceDN w:val="0"/>
        <w:adjustRightInd w:val="0"/>
        <w:ind w:right="-567"/>
        <w:rPr>
          <w:rFonts w:asciiTheme="majorHAnsi" w:eastAsia="MS Mincho" w:hAnsiTheme="majorHAnsi" w:cstheme="majorHAnsi"/>
          <w:sz w:val="22"/>
          <w:szCs w:val="22"/>
        </w:rPr>
      </w:pPr>
      <w:r w:rsidRPr="008F611A">
        <w:rPr>
          <w:rFonts w:asciiTheme="majorHAnsi" w:hAnsiTheme="majorHAnsi" w:cstheme="majorHAnsi"/>
          <w:sz w:val="22"/>
          <w:szCs w:val="22"/>
        </w:rPr>
        <w:t xml:space="preserve">Frankreich: </w:t>
      </w:r>
      <w:hyperlink r:id="rId13" w:history="1">
        <w:r w:rsidRPr="008F611A">
          <w:rPr>
            <w:rStyle w:val="Hyperlink"/>
            <w:rFonts w:asciiTheme="majorHAnsi" w:hAnsiTheme="majorHAnsi" w:cstheme="majorHAnsi"/>
            <w:sz w:val="22"/>
            <w:szCs w:val="22"/>
          </w:rPr>
          <w:t>http://fr.farnell.com/internet-of-things</w:t>
        </w:r>
      </w:hyperlink>
      <w:r w:rsidRPr="008F611A">
        <w:rPr>
          <w:rFonts w:asciiTheme="majorHAnsi" w:hAnsiTheme="majorHAnsi" w:cstheme="majorHAnsi"/>
          <w:sz w:val="22"/>
          <w:szCs w:val="22"/>
        </w:rPr>
        <w:t xml:space="preserve"> </w:t>
      </w:r>
    </w:p>
    <w:p w:rsidR="00780835" w:rsidRPr="008F611A" w:rsidRDefault="00780835" w:rsidP="00F17C39">
      <w:pPr>
        <w:widowControl w:val="0"/>
        <w:autoSpaceDE w:val="0"/>
        <w:autoSpaceDN w:val="0"/>
        <w:adjustRightInd w:val="0"/>
        <w:ind w:right="-567"/>
        <w:rPr>
          <w:rFonts w:asciiTheme="majorHAnsi" w:hAnsiTheme="majorHAnsi" w:cstheme="majorHAnsi"/>
          <w:sz w:val="22"/>
          <w:szCs w:val="22"/>
        </w:rPr>
      </w:pPr>
    </w:p>
    <w:p w:rsidR="00F17C39" w:rsidRPr="008F611A" w:rsidRDefault="00F17C39" w:rsidP="00CF6515">
      <w:pPr>
        <w:widowControl w:val="0"/>
        <w:autoSpaceDE w:val="0"/>
        <w:autoSpaceDN w:val="0"/>
        <w:adjustRightInd w:val="0"/>
        <w:ind w:left="-567" w:right="-567"/>
        <w:jc w:val="center"/>
        <w:rPr>
          <w:rFonts w:asciiTheme="majorHAnsi" w:hAnsiTheme="majorHAnsi" w:cstheme="majorHAnsi"/>
          <w:b/>
          <w:sz w:val="22"/>
          <w:szCs w:val="22"/>
        </w:rPr>
      </w:pPr>
    </w:p>
    <w:p w:rsidR="0091236F" w:rsidRPr="008F611A" w:rsidRDefault="0091236F" w:rsidP="00CF6515">
      <w:pPr>
        <w:widowControl w:val="0"/>
        <w:autoSpaceDE w:val="0"/>
        <w:autoSpaceDN w:val="0"/>
        <w:adjustRightInd w:val="0"/>
        <w:ind w:left="-567" w:right="-567"/>
        <w:jc w:val="center"/>
        <w:rPr>
          <w:rFonts w:asciiTheme="majorHAnsi" w:hAnsiTheme="majorHAnsi" w:cstheme="majorHAnsi"/>
          <w:b/>
          <w:sz w:val="22"/>
          <w:szCs w:val="22"/>
        </w:rPr>
      </w:pPr>
      <w:r w:rsidRPr="008F611A">
        <w:rPr>
          <w:rFonts w:asciiTheme="majorHAnsi" w:hAnsiTheme="majorHAnsi" w:cstheme="majorHAnsi"/>
          <w:b/>
          <w:sz w:val="22"/>
          <w:szCs w:val="22"/>
        </w:rPr>
        <w:t>**Ende**</w:t>
      </w:r>
    </w:p>
    <w:p w:rsidR="00F17C39" w:rsidRPr="008F611A" w:rsidRDefault="00F17C39" w:rsidP="00CF6515">
      <w:pPr>
        <w:widowControl w:val="0"/>
        <w:autoSpaceDE w:val="0"/>
        <w:autoSpaceDN w:val="0"/>
        <w:adjustRightInd w:val="0"/>
        <w:ind w:left="-567" w:right="-567"/>
        <w:jc w:val="center"/>
        <w:rPr>
          <w:rFonts w:asciiTheme="majorHAnsi" w:hAnsiTheme="majorHAnsi" w:cstheme="majorHAnsi"/>
          <w:b/>
          <w:sz w:val="22"/>
          <w:szCs w:val="22"/>
        </w:rPr>
      </w:pPr>
    </w:p>
    <w:p w:rsidR="00F17C39" w:rsidRPr="008F611A" w:rsidRDefault="00F17C39" w:rsidP="00F17C39">
      <w:pPr>
        <w:ind w:left="-567"/>
        <w:rPr>
          <w:rFonts w:asciiTheme="majorHAnsi" w:hAnsiTheme="majorHAnsi" w:cstheme="majorHAnsi"/>
          <w:b/>
          <w:sz w:val="22"/>
          <w:szCs w:val="22"/>
          <w:u w:val="single"/>
        </w:rPr>
      </w:pPr>
      <w:r w:rsidRPr="008F611A">
        <w:rPr>
          <w:rFonts w:asciiTheme="majorHAnsi" w:hAnsiTheme="majorHAnsi" w:cstheme="majorHAnsi"/>
          <w:b/>
          <w:sz w:val="22"/>
          <w:szCs w:val="22"/>
          <w:u w:val="single"/>
        </w:rPr>
        <w:t>Anmerkungen für Redakture</w:t>
      </w:r>
    </w:p>
    <w:p w:rsidR="00F17C39" w:rsidRPr="008F611A" w:rsidRDefault="00F17C39" w:rsidP="00F17C39">
      <w:pPr>
        <w:ind w:left="-567" w:firstLine="567"/>
        <w:rPr>
          <w:rFonts w:asciiTheme="majorHAnsi" w:hAnsiTheme="majorHAnsi" w:cstheme="majorHAnsi"/>
          <w:b/>
          <w:sz w:val="22"/>
          <w:szCs w:val="22"/>
        </w:rPr>
      </w:pPr>
    </w:p>
    <w:p w:rsidR="00F17C39" w:rsidRPr="008F611A" w:rsidRDefault="00F17C39" w:rsidP="00F17C39">
      <w:pPr>
        <w:ind w:left="-567"/>
        <w:rPr>
          <w:rFonts w:asciiTheme="majorHAnsi" w:hAnsiTheme="majorHAnsi" w:cstheme="majorHAnsi"/>
          <w:sz w:val="22"/>
          <w:szCs w:val="22"/>
        </w:rPr>
      </w:pPr>
      <w:r w:rsidRPr="008F611A">
        <w:rPr>
          <w:rFonts w:asciiTheme="majorHAnsi" w:hAnsiTheme="majorHAnsi" w:cstheme="majorHAnsi"/>
          <w:sz w:val="22"/>
          <w:szCs w:val="22"/>
        </w:rPr>
        <w:t xml:space="preserve">Sie finden weitere Details und Bildmaterial zu dieser Pressemitteilung in unserem Newsroom: </w:t>
      </w:r>
      <w:hyperlink r:id="rId14" w:history="1">
        <w:r w:rsidRPr="008F611A">
          <w:rPr>
            <w:rStyle w:val="Hyperlink"/>
            <w:rFonts w:asciiTheme="majorHAnsi" w:hAnsiTheme="majorHAnsi" w:cstheme="majorHAnsi"/>
            <w:sz w:val="22"/>
            <w:szCs w:val="22"/>
          </w:rPr>
          <w:t>www.element14.com/news</w:t>
        </w:r>
      </w:hyperlink>
    </w:p>
    <w:p w:rsidR="00F17C39" w:rsidRPr="008F611A" w:rsidRDefault="00F17C39" w:rsidP="00F17C39">
      <w:pPr>
        <w:ind w:left="-567" w:firstLine="567"/>
        <w:rPr>
          <w:rFonts w:asciiTheme="majorHAnsi" w:hAnsiTheme="majorHAnsi" w:cstheme="majorHAnsi"/>
          <w:sz w:val="22"/>
          <w:szCs w:val="22"/>
        </w:rPr>
      </w:pPr>
    </w:p>
    <w:p w:rsidR="00F17C39" w:rsidRPr="008F611A" w:rsidRDefault="00F17C39" w:rsidP="00F17C39">
      <w:pPr>
        <w:ind w:left="-567"/>
        <w:rPr>
          <w:rFonts w:asciiTheme="majorHAnsi" w:hAnsiTheme="majorHAnsi" w:cstheme="majorHAnsi"/>
          <w:b/>
          <w:bCs/>
          <w:sz w:val="22"/>
          <w:szCs w:val="22"/>
        </w:rPr>
      </w:pPr>
    </w:p>
    <w:p w:rsidR="00F17C39" w:rsidRPr="008F611A" w:rsidRDefault="00F17C39" w:rsidP="00F17C39">
      <w:pPr>
        <w:ind w:left="-567"/>
        <w:rPr>
          <w:rFonts w:asciiTheme="majorHAnsi" w:hAnsiTheme="majorHAnsi" w:cstheme="majorHAnsi"/>
          <w:b/>
          <w:bCs/>
          <w:sz w:val="22"/>
          <w:szCs w:val="22"/>
        </w:rPr>
      </w:pPr>
    </w:p>
    <w:p w:rsidR="00F17C39" w:rsidRPr="008F611A" w:rsidRDefault="00F17C39" w:rsidP="00F17C39">
      <w:pPr>
        <w:ind w:left="-567"/>
        <w:rPr>
          <w:rFonts w:asciiTheme="majorHAnsi" w:hAnsiTheme="majorHAnsi" w:cstheme="majorHAnsi"/>
          <w:b/>
          <w:bCs/>
          <w:sz w:val="22"/>
          <w:szCs w:val="22"/>
        </w:rPr>
      </w:pPr>
    </w:p>
    <w:p w:rsidR="00F17C39" w:rsidRPr="008F611A" w:rsidRDefault="00F17C39" w:rsidP="00F17C39">
      <w:pPr>
        <w:ind w:left="-567"/>
        <w:rPr>
          <w:rFonts w:asciiTheme="majorHAnsi" w:hAnsiTheme="majorHAnsi" w:cstheme="majorHAnsi"/>
          <w:b/>
          <w:bCs/>
          <w:sz w:val="22"/>
          <w:szCs w:val="22"/>
        </w:rPr>
      </w:pPr>
    </w:p>
    <w:p w:rsidR="00F17C39" w:rsidRPr="008F611A" w:rsidRDefault="00F17C39" w:rsidP="00F17C39">
      <w:pPr>
        <w:ind w:left="-567"/>
        <w:rPr>
          <w:rFonts w:asciiTheme="majorHAnsi" w:hAnsiTheme="majorHAnsi" w:cstheme="majorHAnsi"/>
          <w:b/>
          <w:bCs/>
          <w:sz w:val="22"/>
          <w:szCs w:val="22"/>
        </w:rPr>
      </w:pPr>
    </w:p>
    <w:p w:rsidR="00F17C39" w:rsidRPr="008F611A" w:rsidRDefault="00F17C39" w:rsidP="00F17C39">
      <w:pPr>
        <w:ind w:left="-567"/>
        <w:rPr>
          <w:rFonts w:asciiTheme="majorHAnsi" w:hAnsiTheme="majorHAnsi" w:cstheme="majorHAnsi"/>
          <w:b/>
          <w:bCs/>
          <w:sz w:val="22"/>
          <w:szCs w:val="22"/>
        </w:rPr>
      </w:pPr>
      <w:r w:rsidRPr="008F611A">
        <w:rPr>
          <w:rFonts w:asciiTheme="majorHAnsi" w:hAnsiTheme="majorHAnsi" w:cstheme="majorHAnsi"/>
          <w:b/>
          <w:bCs/>
          <w:sz w:val="22"/>
          <w:szCs w:val="22"/>
        </w:rPr>
        <w:t>Über uns</w:t>
      </w:r>
    </w:p>
    <w:p w:rsidR="00F17C39" w:rsidRPr="008F611A" w:rsidRDefault="00F17C39" w:rsidP="00F17C39">
      <w:pPr>
        <w:ind w:left="-567" w:firstLine="567"/>
        <w:rPr>
          <w:rFonts w:asciiTheme="majorHAnsi" w:hAnsiTheme="majorHAnsi" w:cstheme="majorHAnsi"/>
          <w:b/>
          <w:bCs/>
          <w:sz w:val="22"/>
          <w:szCs w:val="22"/>
          <w:u w:val="single"/>
        </w:rPr>
      </w:pPr>
    </w:p>
    <w:p w:rsidR="00F17C39" w:rsidRPr="008F611A" w:rsidRDefault="00B3702A" w:rsidP="00F17C39">
      <w:pPr>
        <w:ind w:left="-567"/>
        <w:rPr>
          <w:rFonts w:asciiTheme="majorHAnsi" w:hAnsiTheme="majorHAnsi" w:cstheme="majorHAnsi"/>
          <w:sz w:val="22"/>
          <w:szCs w:val="22"/>
        </w:rPr>
      </w:pPr>
      <w:hyperlink r:id="rId15" w:history="1">
        <w:r w:rsidR="00F17C39" w:rsidRPr="008F611A">
          <w:rPr>
            <w:rStyle w:val="Hyperlink"/>
            <w:rFonts w:asciiTheme="majorHAnsi" w:hAnsiTheme="majorHAnsi" w:cstheme="majorHAnsi"/>
            <w:sz w:val="22"/>
            <w:szCs w:val="22"/>
          </w:rPr>
          <w:t>Farnell element14</w:t>
        </w:r>
      </w:hyperlink>
      <w:r w:rsidR="00F17C39" w:rsidRPr="008F611A">
        <w:rPr>
          <w:rFonts w:asciiTheme="majorHAnsi" w:hAnsiTheme="majorHAnsi" w:cstheme="majorHAnsi"/>
          <w:sz w:val="22"/>
          <w:szCs w:val="22"/>
        </w:rPr>
        <w:t xml:space="preserve"> gehört zur </w:t>
      </w:r>
      <w:hyperlink r:id="rId16" w:history="1">
        <w:r w:rsidR="00F17C39" w:rsidRPr="008F611A">
          <w:rPr>
            <w:rStyle w:val="Hyperlink"/>
            <w:rFonts w:asciiTheme="majorHAnsi" w:hAnsiTheme="majorHAnsi" w:cstheme="majorHAnsi"/>
            <w:sz w:val="22"/>
            <w:szCs w:val="22"/>
          </w:rPr>
          <w:t xml:space="preserve">Premier Farnell </w:t>
        </w:r>
      </w:hyperlink>
      <w:r w:rsidR="00F17C39" w:rsidRPr="008F611A">
        <w:rPr>
          <w:rFonts w:asciiTheme="majorHAnsi" w:hAnsiTheme="majorHAnsi" w:cstheme="majorHAnsi"/>
          <w:sz w:val="22"/>
          <w:szCs w:val="22"/>
        </w:rPr>
        <w:t>-Unternehmensgruppe, einem weltweiten Technologieführer mit über 80 Jahren Erfahrung im High-Service-Vertrieb von Technologieprodukten und Lösungen für die Konzeption, Fertigung, Wartung und Reparatur von elektronischen Systemen. Als marktführender der Development Distributor nutzt Premier Farnell diese Erfahrungen, um seine breite Kundenbasis, von Bastlern bis hin zu Ingenieuren, Wartungstechnikern und Einkäufern, zu unterstützen. Durch die Zusammenarbeit mit führenden Markenherstellern und Startups entwickelt Premier Farnell neue Lösungen für die Industrie und unterstützt so die nächste Generation von Ingenieuren.</w:t>
      </w:r>
    </w:p>
    <w:p w:rsidR="00F17C39" w:rsidRPr="008F611A" w:rsidRDefault="00F17C39" w:rsidP="00F17C39">
      <w:pPr>
        <w:rPr>
          <w:rFonts w:asciiTheme="majorHAnsi" w:hAnsiTheme="majorHAnsi" w:cstheme="majorHAnsi"/>
          <w:sz w:val="22"/>
          <w:szCs w:val="22"/>
        </w:rPr>
      </w:pPr>
    </w:p>
    <w:p w:rsidR="00F17C39" w:rsidRPr="008F611A" w:rsidRDefault="00F17C39" w:rsidP="00F17C39">
      <w:pPr>
        <w:ind w:left="-567"/>
        <w:rPr>
          <w:rFonts w:asciiTheme="majorHAnsi" w:hAnsiTheme="majorHAnsi" w:cstheme="majorHAnsi"/>
          <w:sz w:val="22"/>
          <w:szCs w:val="22"/>
          <w:shd w:val="clear" w:color="auto" w:fill="FFFFFF"/>
        </w:rPr>
      </w:pPr>
      <w:r w:rsidRPr="008F611A">
        <w:rPr>
          <w:rFonts w:asciiTheme="majorHAnsi" w:hAnsiTheme="majorHAnsi" w:cstheme="majorHAnsi"/>
          <w:sz w:val="22"/>
          <w:szCs w:val="22"/>
        </w:rPr>
        <w:t xml:space="preserve">Premier Farnell ist ein Geschäftsbereich von der Avnet, Inc., </w:t>
      </w:r>
      <w:r w:rsidRPr="008F611A">
        <w:rPr>
          <w:rFonts w:asciiTheme="majorHAnsi" w:hAnsiTheme="majorHAnsi" w:cstheme="majorHAnsi"/>
          <w:sz w:val="22"/>
          <w:szCs w:val="22"/>
          <w:shd w:val="clear" w:color="auto" w:fill="FFFFFF"/>
        </w:rPr>
        <w:t xml:space="preserve">(Börsencode an der New Yorker Börse NYSE:AVT). Premier Farnell firmiert in Europa unter </w:t>
      </w:r>
      <w:r w:rsidRPr="008F611A">
        <w:rPr>
          <w:rFonts w:asciiTheme="majorHAnsi" w:hAnsiTheme="majorHAnsi" w:cstheme="majorHAnsi"/>
          <w:sz w:val="22"/>
          <w:szCs w:val="22"/>
        </w:rPr>
        <w:t> </w:t>
      </w:r>
      <w:hyperlink r:id="rId17" w:history="1">
        <w:r w:rsidRPr="008F611A">
          <w:rPr>
            <w:rStyle w:val="Hyperlink"/>
            <w:rFonts w:asciiTheme="majorHAnsi" w:hAnsiTheme="majorHAnsi" w:cstheme="majorHAnsi"/>
            <w:sz w:val="22"/>
            <w:szCs w:val="22"/>
          </w:rPr>
          <w:t>Farnell element14</w:t>
        </w:r>
      </w:hyperlink>
      <w:r w:rsidRPr="008F611A">
        <w:rPr>
          <w:rFonts w:asciiTheme="majorHAnsi" w:hAnsiTheme="majorHAnsi" w:cstheme="majorHAnsi"/>
          <w:sz w:val="22"/>
          <w:szCs w:val="22"/>
        </w:rPr>
        <w:t> , unter </w:t>
      </w:r>
      <w:hyperlink r:id="rId18" w:history="1">
        <w:r w:rsidRPr="008F611A">
          <w:rPr>
            <w:rStyle w:val="Hyperlink"/>
            <w:rFonts w:asciiTheme="majorHAnsi" w:hAnsiTheme="majorHAnsi" w:cstheme="majorHAnsi"/>
            <w:sz w:val="22"/>
            <w:szCs w:val="22"/>
          </w:rPr>
          <w:t>Newark element14</w:t>
        </w:r>
      </w:hyperlink>
      <w:r w:rsidRPr="008F611A">
        <w:rPr>
          <w:rFonts w:asciiTheme="majorHAnsi" w:hAnsiTheme="majorHAnsi" w:cstheme="majorHAnsi"/>
          <w:sz w:val="22"/>
          <w:szCs w:val="22"/>
        </w:rPr>
        <w:t xml:space="preserve"> in Nordamerika und unter </w:t>
      </w:r>
      <w:hyperlink r:id="rId19" w:history="1">
        <w:r w:rsidRPr="008F611A">
          <w:rPr>
            <w:rStyle w:val="Hyperlink"/>
            <w:rFonts w:asciiTheme="majorHAnsi" w:hAnsiTheme="majorHAnsi" w:cstheme="majorHAnsi"/>
            <w:sz w:val="22"/>
            <w:szCs w:val="22"/>
          </w:rPr>
          <w:t>element14</w:t>
        </w:r>
      </w:hyperlink>
      <w:r w:rsidRPr="008F611A">
        <w:rPr>
          <w:rFonts w:asciiTheme="majorHAnsi" w:hAnsiTheme="majorHAnsi" w:cstheme="majorHAnsi"/>
          <w:sz w:val="22"/>
          <w:szCs w:val="22"/>
        </w:rPr>
        <w:t> im Asien-Pazifik-Raum</w:t>
      </w:r>
      <w:r w:rsidRPr="008F611A">
        <w:rPr>
          <w:rFonts w:asciiTheme="majorHAnsi" w:hAnsiTheme="majorHAnsi" w:cstheme="majorHAnsi"/>
          <w:sz w:val="22"/>
          <w:szCs w:val="22"/>
          <w:shd w:val="clear" w:color="auto" w:fill="FFFFFF"/>
        </w:rPr>
        <w:t>.</w:t>
      </w:r>
      <w:r w:rsidRPr="008F611A">
        <w:rPr>
          <w:rFonts w:asciiTheme="majorHAnsi" w:hAnsiTheme="majorHAnsi" w:cstheme="majorHAnsi"/>
          <w:sz w:val="22"/>
          <w:szCs w:val="22"/>
        </w:rPr>
        <w:t xml:space="preserve"> Die Premier Farnell-Gruppe wird von einer weltumspannenden Lieferkette unterstützt, die 3500 Lieferanten umfasst und verfügt über ein umfassendes Bestandsprofil, das mit dem Ziel entwickelt wurde, die Bedarfe innovativer Kunden an jedem Ort der Welt zu planen und zu decken.</w:t>
      </w:r>
    </w:p>
    <w:p w:rsidR="00F17C39" w:rsidRPr="008F611A" w:rsidRDefault="00F17C39" w:rsidP="00F17C39">
      <w:pPr>
        <w:shd w:val="clear" w:color="auto" w:fill="FFFFFF"/>
        <w:ind w:left="-567"/>
        <w:rPr>
          <w:rFonts w:asciiTheme="majorHAnsi" w:hAnsiTheme="majorHAnsi" w:cstheme="majorHAnsi"/>
          <w:sz w:val="22"/>
          <w:szCs w:val="22"/>
        </w:rPr>
      </w:pPr>
    </w:p>
    <w:p w:rsidR="00F17C39" w:rsidRPr="008F611A" w:rsidRDefault="00F17C39" w:rsidP="00F17C39">
      <w:pPr>
        <w:shd w:val="clear" w:color="auto" w:fill="FFFFFF"/>
        <w:ind w:left="-567"/>
        <w:rPr>
          <w:rFonts w:asciiTheme="majorHAnsi" w:hAnsiTheme="majorHAnsi" w:cstheme="majorHAnsi"/>
          <w:sz w:val="22"/>
          <w:szCs w:val="22"/>
        </w:rPr>
      </w:pPr>
    </w:p>
    <w:p w:rsidR="00F17C39" w:rsidRPr="008F611A" w:rsidRDefault="00F17C39" w:rsidP="00F17C39">
      <w:pPr>
        <w:shd w:val="clear" w:color="auto" w:fill="FFFFFF"/>
        <w:ind w:left="-567"/>
        <w:rPr>
          <w:rStyle w:val="Hyperlink"/>
          <w:rFonts w:asciiTheme="majorHAnsi" w:hAnsiTheme="majorHAnsi" w:cstheme="majorHAnsi"/>
          <w:sz w:val="22"/>
          <w:szCs w:val="22"/>
        </w:rPr>
      </w:pPr>
      <w:r w:rsidRPr="008F611A">
        <w:rPr>
          <w:rFonts w:asciiTheme="majorHAnsi" w:hAnsiTheme="majorHAnsi" w:cstheme="majorHAnsi"/>
          <w:sz w:val="22"/>
          <w:szCs w:val="22"/>
        </w:rPr>
        <w:t xml:space="preserve">Weitere Informationen finden Sie auf unserer Homepage unter </w:t>
      </w:r>
      <w:hyperlink r:id="rId20" w:history="1">
        <w:r w:rsidRPr="008F611A">
          <w:rPr>
            <w:rStyle w:val="Hyperlink"/>
            <w:rFonts w:asciiTheme="majorHAnsi" w:hAnsiTheme="majorHAnsi" w:cstheme="majorHAnsi"/>
            <w:sz w:val="22"/>
            <w:szCs w:val="22"/>
          </w:rPr>
          <w:t>http://www.premierfarnell.com</w:t>
        </w:r>
      </w:hyperlink>
    </w:p>
    <w:p w:rsidR="00F17C39" w:rsidRPr="008F611A" w:rsidRDefault="00F17C39" w:rsidP="00F17C39">
      <w:pPr>
        <w:shd w:val="clear" w:color="auto" w:fill="FFFFFF"/>
        <w:ind w:left="-567"/>
        <w:rPr>
          <w:rFonts w:asciiTheme="majorHAnsi" w:hAnsiTheme="majorHAnsi" w:cstheme="majorHAnsi"/>
          <w:sz w:val="22"/>
          <w:szCs w:val="22"/>
        </w:rPr>
      </w:pPr>
    </w:p>
    <w:p w:rsidR="00F17C39" w:rsidRPr="008F611A" w:rsidRDefault="00F17C39" w:rsidP="00F17C39">
      <w:pPr>
        <w:pStyle w:val="ColorfulList-Accent11"/>
        <w:spacing w:after="0" w:line="240" w:lineRule="auto"/>
        <w:ind w:left="-567"/>
        <w:rPr>
          <w:rFonts w:asciiTheme="majorHAnsi" w:hAnsiTheme="majorHAnsi" w:cstheme="majorHAnsi"/>
          <w:color w:val="000000"/>
        </w:rPr>
      </w:pPr>
      <w:r w:rsidRPr="008F611A">
        <w:rPr>
          <w:rFonts w:asciiTheme="majorHAnsi" w:hAnsiTheme="majorHAnsi" w:cstheme="majorHAnsi"/>
          <w:b/>
          <w:bCs/>
        </w:rPr>
        <w:t>PR-Agentur für Europa:</w:t>
      </w:r>
      <w:r w:rsidRPr="008F611A">
        <w:rPr>
          <w:rFonts w:asciiTheme="majorHAnsi" w:hAnsiTheme="majorHAnsi" w:cstheme="majorHAnsi"/>
          <w:b/>
          <w:color w:val="000000"/>
          <w:u w:val="single"/>
        </w:rPr>
        <w:t xml:space="preserve"> </w:t>
      </w:r>
    </w:p>
    <w:p w:rsidR="00F17C39" w:rsidRPr="008F611A" w:rsidRDefault="00F17C39" w:rsidP="00F17C39">
      <w:pPr>
        <w:ind w:left="-567"/>
        <w:rPr>
          <w:rFonts w:asciiTheme="majorHAnsi" w:hAnsiTheme="majorHAnsi" w:cstheme="majorHAnsi"/>
          <w:b/>
          <w:bCs/>
          <w:sz w:val="22"/>
          <w:szCs w:val="22"/>
        </w:rPr>
      </w:pPr>
      <w:r w:rsidRPr="008F611A">
        <w:rPr>
          <w:rFonts w:asciiTheme="majorHAnsi" w:hAnsiTheme="majorHAnsi" w:cstheme="majorHAnsi"/>
          <w:b/>
          <w:bCs/>
          <w:sz w:val="22"/>
          <w:szCs w:val="22"/>
        </w:rPr>
        <w:t>Freya Ward</w:t>
      </w:r>
    </w:p>
    <w:p w:rsidR="00F17C39" w:rsidRPr="008F611A" w:rsidRDefault="00F17C39" w:rsidP="00F17C39">
      <w:pPr>
        <w:ind w:left="-567"/>
        <w:rPr>
          <w:rFonts w:asciiTheme="majorHAnsi" w:hAnsiTheme="majorHAnsi" w:cstheme="majorHAnsi"/>
          <w:b/>
          <w:sz w:val="22"/>
          <w:szCs w:val="22"/>
        </w:rPr>
      </w:pPr>
      <w:r w:rsidRPr="008F611A">
        <w:rPr>
          <w:rFonts w:asciiTheme="majorHAnsi" w:hAnsiTheme="majorHAnsi" w:cstheme="majorHAnsi"/>
          <w:b/>
          <w:sz w:val="22"/>
          <w:szCs w:val="22"/>
        </w:rPr>
        <w:t>Napier Partnership</w:t>
      </w:r>
    </w:p>
    <w:p w:rsidR="00F17C39" w:rsidRPr="008F611A" w:rsidRDefault="00F17C39" w:rsidP="00F17C39">
      <w:pPr>
        <w:ind w:left="-567"/>
        <w:rPr>
          <w:rFonts w:asciiTheme="majorHAnsi" w:hAnsiTheme="majorHAnsi" w:cstheme="majorHAnsi"/>
          <w:sz w:val="22"/>
          <w:szCs w:val="22"/>
        </w:rPr>
      </w:pPr>
      <w:r w:rsidRPr="008F611A">
        <w:rPr>
          <w:rFonts w:asciiTheme="majorHAnsi" w:hAnsiTheme="majorHAnsi" w:cstheme="majorHAnsi"/>
          <w:sz w:val="22"/>
          <w:szCs w:val="22"/>
        </w:rPr>
        <w:t>Tel: +44 1243 531123</w:t>
      </w:r>
    </w:p>
    <w:p w:rsidR="00F17C39" w:rsidRPr="008F611A" w:rsidRDefault="00F17C39" w:rsidP="00F17C39">
      <w:pPr>
        <w:ind w:left="-567"/>
        <w:rPr>
          <w:rStyle w:val="Hyperlink"/>
          <w:rFonts w:asciiTheme="majorHAnsi" w:hAnsiTheme="majorHAnsi" w:cstheme="majorHAnsi"/>
          <w:sz w:val="22"/>
          <w:szCs w:val="22"/>
        </w:rPr>
      </w:pPr>
      <w:r w:rsidRPr="008F611A">
        <w:rPr>
          <w:rFonts w:asciiTheme="majorHAnsi" w:hAnsiTheme="majorHAnsi" w:cstheme="majorHAnsi"/>
          <w:sz w:val="22"/>
          <w:szCs w:val="22"/>
        </w:rPr>
        <w:t xml:space="preserve">Email: </w:t>
      </w:r>
      <w:hyperlink r:id="rId21" w:history="1">
        <w:r w:rsidRPr="008F611A">
          <w:rPr>
            <w:rStyle w:val="Hyperlink"/>
            <w:rFonts w:asciiTheme="majorHAnsi" w:hAnsiTheme="majorHAnsi" w:cstheme="majorHAnsi"/>
            <w:sz w:val="22"/>
            <w:szCs w:val="22"/>
          </w:rPr>
          <w:t>freya@napierb2b.com</w:t>
        </w:r>
      </w:hyperlink>
    </w:p>
    <w:p w:rsidR="00F17C39" w:rsidRPr="008F611A" w:rsidRDefault="00F17C39" w:rsidP="00F17C39">
      <w:pPr>
        <w:ind w:left="-567"/>
        <w:rPr>
          <w:rFonts w:asciiTheme="majorHAnsi" w:hAnsiTheme="majorHAnsi" w:cstheme="majorHAnsi"/>
          <w:b/>
          <w:sz w:val="22"/>
          <w:szCs w:val="22"/>
        </w:rPr>
      </w:pPr>
    </w:p>
    <w:p w:rsidR="00F17C39" w:rsidRPr="008F611A" w:rsidRDefault="00F17C39" w:rsidP="00F17C39">
      <w:pPr>
        <w:ind w:left="-567"/>
        <w:rPr>
          <w:rFonts w:asciiTheme="majorHAnsi" w:hAnsiTheme="majorHAnsi" w:cstheme="majorHAnsi"/>
          <w:b/>
          <w:bCs/>
          <w:sz w:val="22"/>
          <w:szCs w:val="22"/>
        </w:rPr>
      </w:pPr>
      <w:r w:rsidRPr="008F611A">
        <w:rPr>
          <w:rFonts w:asciiTheme="majorHAnsi" w:hAnsiTheme="majorHAnsi" w:cstheme="majorHAnsi"/>
          <w:b/>
          <w:bCs/>
          <w:sz w:val="22"/>
          <w:szCs w:val="22"/>
        </w:rPr>
        <w:t>Premier Farnell:</w:t>
      </w:r>
    </w:p>
    <w:p w:rsidR="00F17C39" w:rsidRPr="008F611A" w:rsidRDefault="00F17C39" w:rsidP="00F17C39">
      <w:pPr>
        <w:ind w:left="-567"/>
        <w:rPr>
          <w:rFonts w:asciiTheme="majorHAnsi" w:hAnsiTheme="majorHAnsi" w:cstheme="majorHAnsi"/>
          <w:b/>
          <w:bCs/>
          <w:sz w:val="22"/>
          <w:szCs w:val="22"/>
        </w:rPr>
      </w:pPr>
      <w:r w:rsidRPr="008F611A">
        <w:rPr>
          <w:rFonts w:asciiTheme="majorHAnsi" w:hAnsiTheme="majorHAnsi" w:cstheme="majorHAnsi"/>
          <w:b/>
          <w:bCs/>
          <w:sz w:val="22"/>
          <w:szCs w:val="22"/>
        </w:rPr>
        <w:t>Holly Smart</w:t>
      </w:r>
    </w:p>
    <w:p w:rsidR="00F17C39" w:rsidRPr="008F611A" w:rsidRDefault="00F17C39" w:rsidP="00F17C39">
      <w:pPr>
        <w:ind w:left="-567"/>
        <w:rPr>
          <w:rFonts w:asciiTheme="majorHAnsi" w:hAnsiTheme="majorHAnsi" w:cstheme="majorHAnsi"/>
          <w:b/>
          <w:bCs/>
          <w:sz w:val="22"/>
          <w:szCs w:val="22"/>
        </w:rPr>
      </w:pPr>
      <w:r w:rsidRPr="008F611A">
        <w:rPr>
          <w:rFonts w:asciiTheme="majorHAnsi" w:hAnsiTheme="majorHAnsi" w:cstheme="majorHAnsi"/>
          <w:b/>
          <w:bCs/>
          <w:sz w:val="22"/>
          <w:szCs w:val="22"/>
        </w:rPr>
        <w:t>Head of PR and External Communications</w:t>
      </w:r>
    </w:p>
    <w:p w:rsidR="00F17C39" w:rsidRPr="008F611A" w:rsidRDefault="00F17C39" w:rsidP="00F17C39">
      <w:pPr>
        <w:ind w:left="-567"/>
        <w:rPr>
          <w:rFonts w:asciiTheme="majorHAnsi" w:hAnsiTheme="majorHAnsi" w:cstheme="majorHAnsi"/>
          <w:bCs/>
          <w:sz w:val="22"/>
          <w:szCs w:val="22"/>
        </w:rPr>
      </w:pPr>
      <w:r w:rsidRPr="008F611A">
        <w:rPr>
          <w:rFonts w:asciiTheme="majorHAnsi" w:hAnsiTheme="majorHAnsi" w:cstheme="majorHAnsi"/>
          <w:bCs/>
          <w:sz w:val="22"/>
          <w:szCs w:val="22"/>
        </w:rPr>
        <w:t>Tel: +44 113 2485188</w:t>
      </w:r>
    </w:p>
    <w:p w:rsidR="00F17C39" w:rsidRPr="008F611A" w:rsidRDefault="00F17C39" w:rsidP="00F17C39">
      <w:pPr>
        <w:ind w:left="-567"/>
        <w:rPr>
          <w:rFonts w:asciiTheme="majorHAnsi" w:hAnsiTheme="majorHAnsi" w:cstheme="majorHAnsi"/>
          <w:color w:val="000000"/>
          <w:sz w:val="22"/>
          <w:szCs w:val="22"/>
          <w:u w:val="single"/>
          <w:lang w:val="en-GB"/>
        </w:rPr>
      </w:pPr>
      <w:r w:rsidRPr="008F611A">
        <w:rPr>
          <w:rFonts w:asciiTheme="majorHAnsi" w:hAnsiTheme="majorHAnsi" w:cstheme="majorHAnsi"/>
          <w:bCs/>
          <w:sz w:val="22"/>
          <w:szCs w:val="22"/>
        </w:rPr>
        <w:t>Email:</w:t>
      </w:r>
      <w:r w:rsidRPr="008F611A">
        <w:rPr>
          <w:rFonts w:asciiTheme="majorHAnsi" w:hAnsiTheme="majorHAnsi" w:cstheme="majorHAnsi"/>
          <w:b/>
          <w:bCs/>
          <w:sz w:val="22"/>
          <w:szCs w:val="22"/>
        </w:rPr>
        <w:t> </w:t>
      </w:r>
      <w:hyperlink r:id="rId22" w:history="1">
        <w:r w:rsidRPr="008F611A">
          <w:rPr>
            <w:rStyle w:val="Hyperlink"/>
            <w:rFonts w:asciiTheme="majorHAnsi" w:hAnsiTheme="majorHAnsi" w:cstheme="majorHAnsi"/>
            <w:sz w:val="22"/>
            <w:szCs w:val="22"/>
          </w:rPr>
          <w:t>hsmart@premierfarnell.com</w:t>
        </w:r>
      </w:hyperlink>
      <w:r w:rsidRPr="008F611A">
        <w:rPr>
          <w:rFonts w:asciiTheme="majorHAnsi" w:hAnsiTheme="majorHAnsi" w:cstheme="majorHAnsi"/>
          <w:bCs/>
          <w:sz w:val="22"/>
          <w:szCs w:val="22"/>
        </w:rPr>
        <w:t xml:space="preserve">  </w:t>
      </w:r>
    </w:p>
    <w:p w:rsidR="00F17C39" w:rsidRPr="008F611A" w:rsidRDefault="00F17C39" w:rsidP="00F17C39">
      <w:pPr>
        <w:rPr>
          <w:rFonts w:asciiTheme="majorHAnsi" w:hAnsiTheme="majorHAnsi" w:cstheme="majorHAnsi"/>
          <w:sz w:val="22"/>
          <w:szCs w:val="22"/>
        </w:rPr>
      </w:pPr>
    </w:p>
    <w:p w:rsidR="00F17C39" w:rsidRPr="00F17C39" w:rsidRDefault="00F17C39" w:rsidP="00F17C39">
      <w:pPr>
        <w:rPr>
          <w:rFonts w:ascii="Calibri" w:hAnsi="Calibri" w:cs="Calibri"/>
          <w:sz w:val="22"/>
          <w:szCs w:val="22"/>
        </w:rPr>
      </w:pPr>
    </w:p>
    <w:p w:rsidR="00CF6515" w:rsidRPr="00F17C39" w:rsidRDefault="00CF6515" w:rsidP="00CF6515">
      <w:pPr>
        <w:suppressAutoHyphens/>
        <w:spacing w:line="276" w:lineRule="auto"/>
        <w:ind w:left="-567" w:right="-567"/>
        <w:jc w:val="center"/>
        <w:rPr>
          <w:rFonts w:ascii="Calibri" w:eastAsia="Arial Unicode MS" w:hAnsi="Calibri" w:cs="Calibri"/>
          <w:b/>
          <w:kern w:val="1"/>
          <w:sz w:val="22"/>
          <w:szCs w:val="22"/>
          <w:lang w:val="en-US" w:eastAsia="hi-IN" w:bidi="hi-IN"/>
        </w:rPr>
      </w:pPr>
    </w:p>
    <w:sectPr w:rsidR="00CF6515" w:rsidRPr="00F17C39" w:rsidSect="001123CB">
      <w:headerReference w:type="default" r:id="rId23"/>
      <w:footerReference w:type="default" r:id="rId2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9F7" w:rsidRDefault="002769F7" w:rsidP="001123CB">
      <w:r>
        <w:separator/>
      </w:r>
    </w:p>
  </w:endnote>
  <w:endnote w:type="continuationSeparator" w:id="0">
    <w:p w:rsidR="002769F7" w:rsidRDefault="002769F7" w:rsidP="0011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ib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111" w:rsidRPr="00001838" w:rsidRDefault="00001838">
    <w:pPr>
      <w:pStyle w:val="Footer"/>
      <w:rPr>
        <w:rFonts w:ascii="Caibri" w:hAnsi="Caibri" w:hint="eastAsia"/>
        <w:sz w:val="22"/>
      </w:rPr>
    </w:pPr>
    <w:r>
      <w:rPr>
        <w:rFonts w:ascii="Caibri" w:hAnsi="Caibri"/>
        <w:sz w:val="22"/>
      </w:rPr>
      <w:t>FAR197</w:t>
    </w:r>
    <w:r w:rsidR="00F17C39">
      <w:rPr>
        <w:rFonts w:ascii="Caibri" w:hAnsi="Caibri"/>
        <w:sz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9F7" w:rsidRDefault="002769F7" w:rsidP="001123CB">
      <w:r>
        <w:separator/>
      </w:r>
    </w:p>
  </w:footnote>
  <w:footnote w:type="continuationSeparator" w:id="0">
    <w:p w:rsidR="002769F7" w:rsidRDefault="002769F7" w:rsidP="0011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3CB" w:rsidRDefault="004C3D89">
    <w:pPr>
      <w:pStyle w:val="Header"/>
    </w:pPr>
    <w:r>
      <w:rPr>
        <w:noProof/>
      </w:rPr>
      <w:drawing>
        <wp:anchor distT="0" distB="0" distL="114300" distR="114300" simplePos="0" relativeHeight="251662848" behindDoc="1" locked="0" layoutInCell="1" allowOverlap="1" wp14:anchorId="024A16E2" wp14:editId="6F5CA05C">
          <wp:simplePos x="0" y="0"/>
          <wp:positionH relativeFrom="column">
            <wp:posOffset>-304800</wp:posOffset>
          </wp:positionH>
          <wp:positionV relativeFrom="paragraph">
            <wp:posOffset>10795</wp:posOffset>
          </wp:positionV>
          <wp:extent cx="2028825" cy="459740"/>
          <wp:effectExtent l="0" t="0" r="9525" b="0"/>
          <wp:wrapTight wrapText="bothSides">
            <wp:wrapPolygon edited="0">
              <wp:start x="0" y="0"/>
              <wp:lineTo x="0" y="20586"/>
              <wp:lineTo x="21499" y="20586"/>
              <wp:lineTo x="21499" y="0"/>
              <wp:lineTo x="0" y="0"/>
            </wp:wrapPolygon>
          </wp:wrapTight>
          <wp:docPr id="4" name="Picture 1" descr="Premier_Farnell_Logo_H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_Farnell_Logo_HRrgb.jpg"/>
                  <pic:cNvPicPr/>
                </pic:nvPicPr>
                <pic:blipFill>
                  <a:blip r:embed="rId1"/>
                  <a:stretch>
                    <a:fillRect/>
                  </a:stretch>
                </pic:blipFill>
                <pic:spPr>
                  <a:xfrm>
                    <a:off x="0" y="0"/>
                    <a:ext cx="2028825" cy="459740"/>
                  </a:xfrm>
                  <a:prstGeom prst="rect">
                    <a:avLst/>
                  </a:prstGeom>
                </pic:spPr>
              </pic:pic>
            </a:graphicData>
          </a:graphic>
        </wp:anchor>
      </w:drawing>
    </w:r>
    <w:r>
      <w:rPr>
        <w:noProof/>
      </w:rPr>
      <w:drawing>
        <wp:anchor distT="0" distB="0" distL="114300" distR="114300" simplePos="0" relativeHeight="251656704" behindDoc="1" locked="0" layoutInCell="1" allowOverlap="1" wp14:anchorId="4F80D578" wp14:editId="1C8A4AAA">
          <wp:simplePos x="0" y="0"/>
          <wp:positionH relativeFrom="column">
            <wp:posOffset>2724150</wp:posOffset>
          </wp:positionH>
          <wp:positionV relativeFrom="paragraph">
            <wp:posOffset>-25400</wp:posOffset>
          </wp:positionV>
          <wp:extent cx="2714625" cy="463550"/>
          <wp:effectExtent l="0" t="0" r="9525" b="0"/>
          <wp:wrapTight wrapText="bothSides">
            <wp:wrapPolygon edited="0">
              <wp:start x="0" y="0"/>
              <wp:lineTo x="0" y="20416"/>
              <wp:lineTo x="10156" y="20416"/>
              <wp:lineTo x="12733" y="20416"/>
              <wp:lineTo x="21524" y="15978"/>
              <wp:lineTo x="21524" y="5326"/>
              <wp:lineTo x="10156" y="0"/>
              <wp:lineTo x="0" y="0"/>
            </wp:wrapPolygon>
          </wp:wrapTight>
          <wp:docPr id="6" name="Picture 5" descr="Farnel-element14-du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el-element14-dual-Logo.png"/>
                  <pic:cNvPicPr/>
                </pic:nvPicPr>
                <pic:blipFill>
                  <a:blip r:embed="rId2"/>
                  <a:stretch>
                    <a:fillRect/>
                  </a:stretch>
                </pic:blipFill>
                <pic:spPr>
                  <a:xfrm>
                    <a:off x="0" y="0"/>
                    <a:ext cx="2714625" cy="463550"/>
                  </a:xfrm>
                  <a:prstGeom prst="rect">
                    <a:avLst/>
                  </a:prstGeom>
                </pic:spPr>
              </pic:pic>
            </a:graphicData>
          </a:graphic>
        </wp:anchor>
      </w:drawing>
    </w:r>
  </w:p>
  <w:p w:rsidR="001123CB" w:rsidRDefault="00FE3243">
    <w:pPr>
      <w:pStyle w:val="Header"/>
    </w:pPr>
    <w:r>
      <w:t xml:space="preserve">              </w:t>
    </w:r>
  </w:p>
  <w:p w:rsidR="001123CB" w:rsidRDefault="00112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4AF"/>
    <w:multiLevelType w:val="hybridMultilevel"/>
    <w:tmpl w:val="9342DE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AC64664"/>
    <w:multiLevelType w:val="hybridMultilevel"/>
    <w:tmpl w:val="EC7AB922"/>
    <w:lvl w:ilvl="0" w:tplc="13224274">
      <w:numFmt w:val="bullet"/>
      <w:lvlText w:val="•"/>
      <w:lvlJc w:val="left"/>
      <w:pPr>
        <w:ind w:left="3" w:hanging="570"/>
      </w:pPr>
      <w:rPr>
        <w:rFonts w:ascii="Calibri" w:eastAsia="MS Mincho"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36435C11"/>
    <w:multiLevelType w:val="hybridMultilevel"/>
    <w:tmpl w:val="85940A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D455C18"/>
    <w:multiLevelType w:val="hybridMultilevel"/>
    <w:tmpl w:val="8D86B28A"/>
    <w:lvl w:ilvl="0" w:tplc="CACA2180">
      <w:numFmt w:val="bullet"/>
      <w:lvlText w:val="•"/>
      <w:lvlJc w:val="left"/>
      <w:pPr>
        <w:ind w:left="3" w:hanging="570"/>
      </w:pPr>
      <w:rPr>
        <w:rFonts w:ascii="Calibri" w:eastAsia="MS Mincho"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15:restartNumberingAfterBreak="0">
    <w:nsid w:val="6A8B1F35"/>
    <w:multiLevelType w:val="hybridMultilevel"/>
    <w:tmpl w:val="FD262D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7"/>
    <w:rsid w:val="00001838"/>
    <w:rsid w:val="00037333"/>
    <w:rsid w:val="00071365"/>
    <w:rsid w:val="000955B3"/>
    <w:rsid w:val="000E47E3"/>
    <w:rsid w:val="000E76B6"/>
    <w:rsid w:val="001058C1"/>
    <w:rsid w:val="001123CB"/>
    <w:rsid w:val="001447DE"/>
    <w:rsid w:val="00146E74"/>
    <w:rsid w:val="001710A5"/>
    <w:rsid w:val="00217851"/>
    <w:rsid w:val="00243289"/>
    <w:rsid w:val="00255477"/>
    <w:rsid w:val="00255A65"/>
    <w:rsid w:val="0025609E"/>
    <w:rsid w:val="00264E97"/>
    <w:rsid w:val="00272BB0"/>
    <w:rsid w:val="002769F7"/>
    <w:rsid w:val="00283214"/>
    <w:rsid w:val="002A1032"/>
    <w:rsid w:val="002A66BB"/>
    <w:rsid w:val="002C5D6E"/>
    <w:rsid w:val="003102AB"/>
    <w:rsid w:val="00380127"/>
    <w:rsid w:val="003A1E73"/>
    <w:rsid w:val="003D13E0"/>
    <w:rsid w:val="00400902"/>
    <w:rsid w:val="00421199"/>
    <w:rsid w:val="004318A0"/>
    <w:rsid w:val="00433939"/>
    <w:rsid w:val="00485C6D"/>
    <w:rsid w:val="0049078F"/>
    <w:rsid w:val="0049087C"/>
    <w:rsid w:val="004C3D89"/>
    <w:rsid w:val="004C6B1E"/>
    <w:rsid w:val="00561E36"/>
    <w:rsid w:val="00575719"/>
    <w:rsid w:val="005A3142"/>
    <w:rsid w:val="005E4111"/>
    <w:rsid w:val="005E6CDC"/>
    <w:rsid w:val="005F0998"/>
    <w:rsid w:val="0062321A"/>
    <w:rsid w:val="00693927"/>
    <w:rsid w:val="006A3EBA"/>
    <w:rsid w:val="006E475A"/>
    <w:rsid w:val="00727D37"/>
    <w:rsid w:val="00761F58"/>
    <w:rsid w:val="00763DA9"/>
    <w:rsid w:val="00780835"/>
    <w:rsid w:val="00785F61"/>
    <w:rsid w:val="00792374"/>
    <w:rsid w:val="007D2065"/>
    <w:rsid w:val="007F5D36"/>
    <w:rsid w:val="008044F7"/>
    <w:rsid w:val="00855B66"/>
    <w:rsid w:val="00882B70"/>
    <w:rsid w:val="008D508C"/>
    <w:rsid w:val="008E6A61"/>
    <w:rsid w:val="008F611A"/>
    <w:rsid w:val="008F7055"/>
    <w:rsid w:val="0091236F"/>
    <w:rsid w:val="0093084D"/>
    <w:rsid w:val="009651A7"/>
    <w:rsid w:val="009730E9"/>
    <w:rsid w:val="009E39CD"/>
    <w:rsid w:val="009E459F"/>
    <w:rsid w:val="00A03356"/>
    <w:rsid w:val="00A10DCF"/>
    <w:rsid w:val="00A228FB"/>
    <w:rsid w:val="00A52023"/>
    <w:rsid w:val="00B12032"/>
    <w:rsid w:val="00B1486C"/>
    <w:rsid w:val="00B14F5A"/>
    <w:rsid w:val="00B353AB"/>
    <w:rsid w:val="00B3702A"/>
    <w:rsid w:val="00B54526"/>
    <w:rsid w:val="00B55E4E"/>
    <w:rsid w:val="00B974F4"/>
    <w:rsid w:val="00BC4EC9"/>
    <w:rsid w:val="00BD6885"/>
    <w:rsid w:val="00BE5943"/>
    <w:rsid w:val="00C11247"/>
    <w:rsid w:val="00C36024"/>
    <w:rsid w:val="00C42E8A"/>
    <w:rsid w:val="00C53D2F"/>
    <w:rsid w:val="00C749B3"/>
    <w:rsid w:val="00CB6E8D"/>
    <w:rsid w:val="00CF6515"/>
    <w:rsid w:val="00D02599"/>
    <w:rsid w:val="00D45B63"/>
    <w:rsid w:val="00D85A5D"/>
    <w:rsid w:val="00DC6CE5"/>
    <w:rsid w:val="00DE6A15"/>
    <w:rsid w:val="00E040C7"/>
    <w:rsid w:val="00E21184"/>
    <w:rsid w:val="00E31921"/>
    <w:rsid w:val="00E40423"/>
    <w:rsid w:val="00E77199"/>
    <w:rsid w:val="00EB646C"/>
    <w:rsid w:val="00ED178C"/>
    <w:rsid w:val="00ED1ED7"/>
    <w:rsid w:val="00F17C39"/>
    <w:rsid w:val="00F34EDF"/>
    <w:rsid w:val="00F83AC6"/>
    <w:rsid w:val="00FC139F"/>
    <w:rsid w:val="00FD5B88"/>
    <w:rsid w:val="00FE2500"/>
    <w:rsid w:val="00FE3243"/>
    <w:rsid w:val="00FE5E17"/>
    <w:rsid w:val="00FF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33"/>
    <w:rPr>
      <w:color w:val="0000FF" w:themeColor="hyperlink"/>
      <w:u w:val="single"/>
    </w:rPr>
  </w:style>
  <w:style w:type="character" w:styleId="FollowedHyperlink">
    <w:name w:val="FollowedHyperlink"/>
    <w:basedOn w:val="DefaultParagraphFont"/>
    <w:uiPriority w:val="99"/>
    <w:semiHidden/>
    <w:unhideWhenUsed/>
    <w:rsid w:val="00037333"/>
    <w:rPr>
      <w:color w:val="800080" w:themeColor="followedHyperlink"/>
      <w:u w:val="single"/>
    </w:rPr>
  </w:style>
  <w:style w:type="character" w:customStyle="1" w:styleId="Mentionnonrsolue1">
    <w:name w:val="Mention non résolue1"/>
    <w:basedOn w:val="DefaultParagraphFont"/>
    <w:uiPriority w:val="99"/>
    <w:semiHidden/>
    <w:unhideWhenUsed/>
    <w:rsid w:val="00FC139F"/>
    <w:rPr>
      <w:color w:val="808080"/>
      <w:shd w:val="clear" w:color="auto" w:fill="E6E6E6"/>
    </w:rPr>
  </w:style>
  <w:style w:type="paragraph" w:styleId="NormalWeb">
    <w:name w:val="Normal (Web)"/>
    <w:basedOn w:val="Normal"/>
    <w:uiPriority w:val="99"/>
    <w:semiHidden/>
    <w:unhideWhenUsed/>
    <w:rsid w:val="00575719"/>
    <w:pPr>
      <w:spacing w:before="100" w:beforeAutospacing="1" w:after="100" w:afterAutospacing="1"/>
    </w:pPr>
    <w:rPr>
      <w:rFonts w:ascii="Times New Roman" w:eastAsia="Times New Roman" w:hAnsi="Times New Roman" w:cs="Times New Roman"/>
      <w:lang w:eastAsia="fr-FR"/>
    </w:rPr>
  </w:style>
  <w:style w:type="paragraph" w:customStyle="1" w:styleId="ColorfulList-Accent11">
    <w:name w:val="Colorful List - Accent 11"/>
    <w:basedOn w:val="Normal"/>
    <w:uiPriority w:val="99"/>
    <w:qFormat/>
    <w:rsid w:val="001123CB"/>
    <w:pPr>
      <w:suppressAutoHyphens/>
      <w:spacing w:after="200" w:line="276" w:lineRule="auto"/>
      <w:ind w:left="720"/>
    </w:pPr>
    <w:rPr>
      <w:rFonts w:ascii="Times New Roman" w:eastAsia="Arial Unicode MS" w:hAnsi="Times New Roman" w:cs="Calibri"/>
      <w:kern w:val="1"/>
      <w:sz w:val="22"/>
      <w:szCs w:val="22"/>
      <w:lang w:eastAsia="hi-IN" w:bidi="hi-IN"/>
    </w:rPr>
  </w:style>
  <w:style w:type="paragraph" w:styleId="Header">
    <w:name w:val="header"/>
    <w:basedOn w:val="Normal"/>
    <w:link w:val="HeaderChar"/>
    <w:uiPriority w:val="99"/>
    <w:unhideWhenUsed/>
    <w:rsid w:val="001123CB"/>
    <w:pPr>
      <w:tabs>
        <w:tab w:val="center" w:pos="4513"/>
        <w:tab w:val="right" w:pos="9026"/>
      </w:tabs>
    </w:pPr>
  </w:style>
  <w:style w:type="character" w:customStyle="1" w:styleId="HeaderChar">
    <w:name w:val="Header Char"/>
    <w:basedOn w:val="DefaultParagraphFont"/>
    <w:link w:val="Header"/>
    <w:uiPriority w:val="99"/>
    <w:rsid w:val="001123CB"/>
  </w:style>
  <w:style w:type="paragraph" w:styleId="Footer">
    <w:name w:val="footer"/>
    <w:basedOn w:val="Normal"/>
    <w:link w:val="FooterChar"/>
    <w:uiPriority w:val="99"/>
    <w:unhideWhenUsed/>
    <w:rsid w:val="001123CB"/>
    <w:pPr>
      <w:tabs>
        <w:tab w:val="center" w:pos="4513"/>
        <w:tab w:val="right" w:pos="9026"/>
      </w:tabs>
    </w:pPr>
  </w:style>
  <w:style w:type="character" w:customStyle="1" w:styleId="FooterChar">
    <w:name w:val="Footer Char"/>
    <w:basedOn w:val="DefaultParagraphFont"/>
    <w:link w:val="Footer"/>
    <w:uiPriority w:val="99"/>
    <w:rsid w:val="001123CB"/>
  </w:style>
  <w:style w:type="character" w:customStyle="1" w:styleId="Mention1">
    <w:name w:val="Mention1"/>
    <w:basedOn w:val="DefaultParagraphFont"/>
    <w:uiPriority w:val="99"/>
    <w:semiHidden/>
    <w:unhideWhenUsed/>
    <w:rsid w:val="00C749B3"/>
    <w:rPr>
      <w:color w:val="2B579A"/>
      <w:shd w:val="clear" w:color="auto" w:fill="E6E6E6"/>
    </w:rPr>
  </w:style>
  <w:style w:type="paragraph" w:styleId="BalloonText">
    <w:name w:val="Balloon Text"/>
    <w:basedOn w:val="Normal"/>
    <w:link w:val="BalloonTextChar"/>
    <w:uiPriority w:val="99"/>
    <w:semiHidden/>
    <w:unhideWhenUsed/>
    <w:rsid w:val="00255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65"/>
    <w:rPr>
      <w:rFonts w:ascii="Segoe UI" w:hAnsi="Segoe UI" w:cs="Segoe UI"/>
      <w:sz w:val="18"/>
      <w:szCs w:val="18"/>
    </w:rPr>
  </w:style>
  <w:style w:type="character" w:styleId="CommentReference">
    <w:name w:val="annotation reference"/>
    <w:basedOn w:val="DefaultParagraphFont"/>
    <w:uiPriority w:val="99"/>
    <w:semiHidden/>
    <w:unhideWhenUsed/>
    <w:rsid w:val="0049087C"/>
    <w:rPr>
      <w:sz w:val="16"/>
      <w:szCs w:val="16"/>
    </w:rPr>
  </w:style>
  <w:style w:type="paragraph" w:styleId="CommentText">
    <w:name w:val="annotation text"/>
    <w:basedOn w:val="Normal"/>
    <w:link w:val="CommentTextChar"/>
    <w:uiPriority w:val="99"/>
    <w:semiHidden/>
    <w:unhideWhenUsed/>
    <w:rsid w:val="0049087C"/>
    <w:rPr>
      <w:sz w:val="20"/>
      <w:szCs w:val="20"/>
    </w:rPr>
  </w:style>
  <w:style w:type="character" w:customStyle="1" w:styleId="CommentTextChar">
    <w:name w:val="Comment Text Char"/>
    <w:basedOn w:val="DefaultParagraphFont"/>
    <w:link w:val="CommentText"/>
    <w:uiPriority w:val="99"/>
    <w:semiHidden/>
    <w:rsid w:val="0049087C"/>
    <w:rPr>
      <w:sz w:val="20"/>
      <w:szCs w:val="20"/>
    </w:rPr>
  </w:style>
  <w:style w:type="paragraph" w:styleId="ListParagraph">
    <w:name w:val="List Paragraph"/>
    <w:basedOn w:val="Normal"/>
    <w:uiPriority w:val="34"/>
    <w:qFormat/>
    <w:rsid w:val="00780835"/>
    <w:pPr>
      <w:ind w:left="720"/>
      <w:contextualSpacing/>
    </w:pPr>
  </w:style>
  <w:style w:type="paragraph" w:styleId="CommentSubject">
    <w:name w:val="annotation subject"/>
    <w:basedOn w:val="CommentText"/>
    <w:next w:val="CommentText"/>
    <w:link w:val="CommentSubjectChar"/>
    <w:uiPriority w:val="99"/>
    <w:semiHidden/>
    <w:unhideWhenUsed/>
    <w:rsid w:val="008D508C"/>
    <w:rPr>
      <w:b/>
      <w:bCs/>
    </w:rPr>
  </w:style>
  <w:style w:type="character" w:customStyle="1" w:styleId="CommentSubjectChar">
    <w:name w:val="Comment Subject Char"/>
    <w:basedOn w:val="CommentTextChar"/>
    <w:link w:val="CommentSubject"/>
    <w:uiPriority w:val="99"/>
    <w:semiHidden/>
    <w:rsid w:val="008D508C"/>
    <w:rPr>
      <w:b/>
      <w:bCs/>
      <w:sz w:val="20"/>
      <w:szCs w:val="20"/>
    </w:rPr>
  </w:style>
  <w:style w:type="character" w:customStyle="1" w:styleId="UnresolvedMention1">
    <w:name w:val="Unresolved Mention1"/>
    <w:basedOn w:val="DefaultParagraphFont"/>
    <w:uiPriority w:val="99"/>
    <w:semiHidden/>
    <w:unhideWhenUsed/>
    <w:rsid w:val="009730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719297">
      <w:bodyDiv w:val="1"/>
      <w:marLeft w:val="0"/>
      <w:marRight w:val="0"/>
      <w:marTop w:val="0"/>
      <w:marBottom w:val="0"/>
      <w:divBdr>
        <w:top w:val="none" w:sz="0" w:space="0" w:color="auto"/>
        <w:left w:val="none" w:sz="0" w:space="0" w:color="auto"/>
        <w:bottom w:val="none" w:sz="0" w:space="0" w:color="auto"/>
        <w:right w:val="none" w:sz="0" w:space="0" w:color="auto"/>
      </w:divBdr>
    </w:div>
    <w:div w:id="1401904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arnell.com/internet-of-things" TargetMode="External"/><Relationship Id="rId13" Type="http://schemas.openxmlformats.org/officeDocument/2006/relationships/hyperlink" Target="http://fr.farnell.com/internet-of-things" TargetMode="External"/><Relationship Id="rId18" Type="http://schemas.openxmlformats.org/officeDocument/2006/relationships/hyperlink" Target="http://www.newar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eya@napierb2b.com" TargetMode="External"/><Relationship Id="rId7" Type="http://schemas.openxmlformats.org/officeDocument/2006/relationships/endnotes" Target="endnotes.xml"/><Relationship Id="rId12" Type="http://schemas.openxmlformats.org/officeDocument/2006/relationships/hyperlink" Target="http://ch.farnell.com/internet-of-things" TargetMode="External"/><Relationship Id="rId17" Type="http://schemas.openxmlformats.org/officeDocument/2006/relationships/hyperlink" Target="http://farnel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mierfarnell.com/" TargetMode="External"/><Relationship Id="rId20" Type="http://schemas.openxmlformats.org/officeDocument/2006/relationships/hyperlink" Target="http://www.premierfarn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farnell.com/internet-of-th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farnell.com" TargetMode="External"/><Relationship Id="rId23" Type="http://schemas.openxmlformats.org/officeDocument/2006/relationships/header" Target="header1.xml"/><Relationship Id="rId10" Type="http://schemas.openxmlformats.org/officeDocument/2006/relationships/hyperlink" Target="http://de.farnell.com/internet-of-things" TargetMode="External"/><Relationship Id="rId19" Type="http://schemas.openxmlformats.org/officeDocument/2006/relationships/hyperlink" Target="http://sg.element14.com/" TargetMode="External"/><Relationship Id="rId4" Type="http://schemas.openxmlformats.org/officeDocument/2006/relationships/settings" Target="settings.xml"/><Relationship Id="rId9" Type="http://schemas.openxmlformats.org/officeDocument/2006/relationships/hyperlink" Target="http://pl.farnell.com/internet-of-things" TargetMode="External"/><Relationship Id="rId14" Type="http://schemas.openxmlformats.org/officeDocument/2006/relationships/hyperlink" Target="http://www.element14.com/news" TargetMode="External"/><Relationship Id="rId22" Type="http://schemas.openxmlformats.org/officeDocument/2006/relationships/hyperlink" Target="mailto:hsmart@premierfarne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FC70-651F-487E-851A-A6591288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2017-11-03T13:06:00Z</dcterms:created>
  <dcterms:modified xsi:type="dcterms:W3CDTF">2017-11-06T15:01:00Z</dcterms:modified>
</cp:coreProperties>
</file>