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6F6D" w14:textId="77777777" w:rsidR="00D16580" w:rsidRPr="00300143" w:rsidRDefault="00D16580" w:rsidP="00281809">
      <w:pPr>
        <w:widowControl w:val="0"/>
        <w:spacing w:line="276" w:lineRule="auto"/>
        <w:jc w:val="center"/>
        <w:rPr>
          <w:rFonts w:ascii="Arial" w:hAnsi="Arial" w:cs="Arial"/>
          <w:b/>
          <w:sz w:val="20"/>
          <w:szCs w:val="20"/>
        </w:rPr>
      </w:pPr>
    </w:p>
    <w:p w14:paraId="1783B4CF" w14:textId="10362740" w:rsidR="00981FA2" w:rsidRPr="00281809" w:rsidRDefault="004D1FF2" w:rsidP="00281809">
      <w:pPr>
        <w:widowControl w:val="0"/>
        <w:spacing w:line="276" w:lineRule="auto"/>
        <w:jc w:val="center"/>
        <w:rPr>
          <w:rFonts w:ascii="Arial" w:hAnsi="Arial" w:cs="Arial"/>
          <w:b/>
          <w:color w:val="auto"/>
          <w:sz w:val="26"/>
          <w:szCs w:val="26"/>
        </w:rPr>
      </w:pPr>
      <w:r w:rsidRPr="00281809">
        <w:rPr>
          <w:rFonts w:ascii="Arial" w:hAnsi="Arial" w:cs="Arial"/>
          <w:b/>
          <w:color w:val="auto"/>
          <w:sz w:val="26"/>
          <w:szCs w:val="26"/>
          <w:highlight w:val="yellow"/>
        </w:rPr>
        <w:t>Farnell element14</w:t>
      </w:r>
      <w:r w:rsidRPr="00281809">
        <w:rPr>
          <w:rFonts w:ascii="Arial" w:hAnsi="Arial" w:cs="Arial"/>
          <w:b/>
          <w:color w:val="auto"/>
          <w:sz w:val="26"/>
          <w:szCs w:val="26"/>
        </w:rPr>
        <w:t xml:space="preserve"> launches </w:t>
      </w:r>
      <w:r w:rsidR="00300143">
        <w:rPr>
          <w:rFonts w:ascii="Arial" w:hAnsi="Arial" w:cs="Arial"/>
          <w:b/>
          <w:color w:val="auto"/>
          <w:sz w:val="26"/>
          <w:szCs w:val="26"/>
        </w:rPr>
        <w:t xml:space="preserve">Texas Instruments </w:t>
      </w:r>
      <w:r w:rsidRPr="00281809">
        <w:rPr>
          <w:rFonts w:ascii="Arial" w:hAnsi="Arial" w:cs="Arial"/>
          <w:b/>
          <w:color w:val="auto"/>
          <w:sz w:val="26"/>
          <w:szCs w:val="26"/>
        </w:rPr>
        <w:t>reference design</w:t>
      </w:r>
      <w:r w:rsidR="00C92E7C">
        <w:rPr>
          <w:rFonts w:ascii="Arial" w:hAnsi="Arial" w:cs="Arial"/>
          <w:b/>
          <w:color w:val="auto"/>
          <w:sz w:val="26"/>
          <w:szCs w:val="26"/>
        </w:rPr>
        <w:t>s</w:t>
      </w:r>
      <w:r w:rsidRPr="00281809">
        <w:rPr>
          <w:rFonts w:ascii="Arial" w:hAnsi="Arial" w:cs="Arial"/>
          <w:b/>
          <w:color w:val="auto"/>
          <w:sz w:val="26"/>
          <w:szCs w:val="26"/>
        </w:rPr>
        <w:t xml:space="preserve"> to ease</w:t>
      </w:r>
      <w:r w:rsidR="00EF4CAF">
        <w:rPr>
          <w:rFonts w:ascii="Arial" w:hAnsi="Arial" w:cs="Arial"/>
          <w:b/>
          <w:color w:val="auto"/>
          <w:sz w:val="26"/>
          <w:szCs w:val="26"/>
        </w:rPr>
        <w:t xml:space="preserve"> the</w:t>
      </w:r>
      <w:r w:rsidRPr="00281809">
        <w:rPr>
          <w:rFonts w:ascii="Arial" w:hAnsi="Arial" w:cs="Arial"/>
          <w:b/>
          <w:color w:val="auto"/>
          <w:sz w:val="26"/>
          <w:szCs w:val="26"/>
        </w:rPr>
        <w:t xml:space="preserve"> development of power solutions for Xilinx </w:t>
      </w:r>
      <w:proofErr w:type="spellStart"/>
      <w:r w:rsidR="0040043B">
        <w:rPr>
          <w:rFonts w:ascii="Arial" w:hAnsi="Arial" w:cs="Arial"/>
          <w:b/>
          <w:color w:val="auto"/>
          <w:sz w:val="26"/>
          <w:szCs w:val="26"/>
        </w:rPr>
        <w:t>MPSoC</w:t>
      </w:r>
      <w:proofErr w:type="spellEnd"/>
      <w:r w:rsidR="005A4483">
        <w:rPr>
          <w:rFonts w:ascii="Arial" w:hAnsi="Arial" w:cs="Arial"/>
          <w:b/>
          <w:color w:val="auto"/>
          <w:sz w:val="26"/>
          <w:szCs w:val="26"/>
        </w:rPr>
        <w:t>, SoC</w:t>
      </w:r>
      <w:r w:rsidR="0040043B">
        <w:rPr>
          <w:rFonts w:ascii="Arial" w:hAnsi="Arial" w:cs="Arial"/>
          <w:b/>
          <w:color w:val="auto"/>
          <w:sz w:val="26"/>
          <w:szCs w:val="26"/>
        </w:rPr>
        <w:t xml:space="preserve"> and </w:t>
      </w:r>
      <w:r w:rsidRPr="00281809">
        <w:rPr>
          <w:rFonts w:ascii="Arial" w:hAnsi="Arial" w:cs="Arial"/>
          <w:b/>
          <w:color w:val="auto"/>
          <w:sz w:val="26"/>
          <w:szCs w:val="26"/>
        </w:rPr>
        <w:t>FPGA applications</w:t>
      </w:r>
    </w:p>
    <w:p w14:paraId="78372CE7" w14:textId="039E3A1B" w:rsidR="004D1FF2" w:rsidRPr="00D2201A" w:rsidRDefault="00F30832" w:rsidP="00281809">
      <w:pPr>
        <w:widowControl w:val="0"/>
        <w:spacing w:line="276" w:lineRule="auto"/>
        <w:jc w:val="center"/>
        <w:rPr>
          <w:rFonts w:ascii="Arial" w:hAnsi="Arial" w:cs="Arial"/>
          <w:i/>
          <w:color w:val="auto"/>
          <w:sz w:val="20"/>
          <w:szCs w:val="20"/>
        </w:rPr>
      </w:pPr>
      <w:r w:rsidRPr="00D2201A">
        <w:rPr>
          <w:rFonts w:ascii="Arial" w:hAnsi="Arial" w:cs="Arial"/>
          <w:i/>
          <w:sz w:val="20"/>
          <w:szCs w:val="20"/>
          <w:lang w:val="en-US"/>
        </w:rPr>
        <w:t xml:space="preserve">Scalable power supply design </w:t>
      </w:r>
      <w:r w:rsidR="000F3079" w:rsidRPr="00D2201A">
        <w:rPr>
          <w:rFonts w:ascii="Arial" w:hAnsi="Arial" w:cs="Arial"/>
          <w:i/>
          <w:sz w:val="20"/>
          <w:szCs w:val="20"/>
          <w:lang w:val="en-US"/>
        </w:rPr>
        <w:t>simplifies and speeds development of power solutions for</w:t>
      </w:r>
      <w:r w:rsidRPr="00D2201A">
        <w:rPr>
          <w:rFonts w:ascii="Arial" w:hAnsi="Arial" w:cs="Arial"/>
          <w:i/>
          <w:sz w:val="20"/>
          <w:szCs w:val="20"/>
          <w:lang w:val="en-US"/>
        </w:rPr>
        <w:t xml:space="preserve"> the </w:t>
      </w:r>
      <w:r w:rsidRPr="00D2201A">
        <w:rPr>
          <w:rFonts w:ascii="Arial" w:hAnsi="Arial" w:cs="Arial"/>
          <w:i/>
          <w:color w:val="auto"/>
          <w:sz w:val="20"/>
          <w:szCs w:val="20"/>
        </w:rPr>
        <w:t xml:space="preserve">Xilinx Zynq </w:t>
      </w:r>
      <w:proofErr w:type="spellStart"/>
      <w:r w:rsidRPr="00D2201A">
        <w:rPr>
          <w:rFonts w:ascii="Arial" w:hAnsi="Arial" w:cs="Arial"/>
          <w:i/>
          <w:color w:val="auto"/>
          <w:sz w:val="20"/>
          <w:szCs w:val="20"/>
        </w:rPr>
        <w:t>UltraScale</w:t>
      </w:r>
      <w:proofErr w:type="spellEnd"/>
      <w:r w:rsidRPr="00D2201A">
        <w:rPr>
          <w:rFonts w:ascii="Arial" w:hAnsi="Arial" w:cs="Arial"/>
          <w:i/>
          <w:color w:val="auto"/>
          <w:sz w:val="20"/>
          <w:szCs w:val="20"/>
        </w:rPr>
        <w:t xml:space="preserve">+ </w:t>
      </w:r>
      <w:proofErr w:type="spellStart"/>
      <w:r w:rsidR="000B72F9" w:rsidRPr="00D2201A">
        <w:rPr>
          <w:rFonts w:ascii="Arial" w:hAnsi="Arial" w:cs="Arial"/>
          <w:i/>
          <w:color w:val="auto"/>
          <w:sz w:val="20"/>
          <w:szCs w:val="20"/>
        </w:rPr>
        <w:t>MPSoC</w:t>
      </w:r>
      <w:proofErr w:type="spellEnd"/>
      <w:r w:rsidR="000B72F9" w:rsidRPr="00D2201A">
        <w:rPr>
          <w:rFonts w:ascii="Arial" w:hAnsi="Arial" w:cs="Arial"/>
          <w:i/>
          <w:color w:val="auto"/>
          <w:sz w:val="20"/>
          <w:szCs w:val="20"/>
        </w:rPr>
        <w:t xml:space="preserve"> </w:t>
      </w:r>
      <w:r w:rsidRPr="00D2201A">
        <w:rPr>
          <w:rFonts w:ascii="Arial" w:hAnsi="Arial" w:cs="Arial"/>
          <w:i/>
          <w:color w:val="auto"/>
          <w:sz w:val="20"/>
          <w:szCs w:val="20"/>
        </w:rPr>
        <w:t xml:space="preserve">family </w:t>
      </w:r>
    </w:p>
    <w:p w14:paraId="6827DCF9" w14:textId="77777777" w:rsidR="00EF4CAF" w:rsidRPr="00281809" w:rsidRDefault="00EF4CAF" w:rsidP="00281809">
      <w:pPr>
        <w:widowControl w:val="0"/>
        <w:spacing w:line="276" w:lineRule="auto"/>
        <w:jc w:val="center"/>
        <w:rPr>
          <w:rFonts w:ascii="Arial" w:hAnsi="Arial" w:cs="Arial"/>
          <w:b/>
          <w:color w:val="auto"/>
          <w:sz w:val="20"/>
          <w:szCs w:val="20"/>
        </w:rPr>
      </w:pPr>
    </w:p>
    <w:p w14:paraId="77C282AA" w14:textId="52227D09" w:rsidR="00981FA2" w:rsidRPr="00D2201A" w:rsidRDefault="00981FA2" w:rsidP="00281809">
      <w:pPr>
        <w:widowControl w:val="0"/>
        <w:spacing w:line="276" w:lineRule="auto"/>
        <w:rPr>
          <w:rFonts w:ascii="Arial" w:hAnsi="Arial" w:cs="Arial"/>
          <w:color w:val="auto"/>
          <w:sz w:val="20"/>
          <w:szCs w:val="20"/>
        </w:rPr>
      </w:pPr>
      <w:r w:rsidRPr="00D2201A">
        <w:rPr>
          <w:rFonts w:ascii="Arial" w:hAnsi="Arial" w:cs="Arial"/>
          <w:b/>
          <w:color w:val="auto"/>
          <w:sz w:val="20"/>
          <w:szCs w:val="20"/>
          <w:highlight w:val="yellow"/>
        </w:rPr>
        <w:t>London, United Kingdom</w:t>
      </w:r>
      <w:r w:rsidRPr="00F54CFC">
        <w:rPr>
          <w:rFonts w:ascii="Arial" w:hAnsi="Arial" w:cs="Arial"/>
          <w:b/>
          <w:color w:val="auto"/>
          <w:sz w:val="20"/>
          <w:szCs w:val="20"/>
          <w:highlight w:val="yellow"/>
        </w:rPr>
        <w:t xml:space="preserve">, </w:t>
      </w:r>
      <w:r w:rsidR="00F54CFC" w:rsidRPr="00F54CFC">
        <w:rPr>
          <w:rFonts w:ascii="Arial" w:hAnsi="Arial" w:cs="Arial"/>
          <w:b/>
          <w:color w:val="auto"/>
          <w:sz w:val="20"/>
          <w:szCs w:val="20"/>
          <w:highlight w:val="yellow"/>
        </w:rPr>
        <w:t>9</w:t>
      </w:r>
      <w:r w:rsidR="00F54CFC" w:rsidRPr="00F54CFC">
        <w:rPr>
          <w:rFonts w:ascii="Arial" w:hAnsi="Arial" w:cs="Arial"/>
          <w:b/>
          <w:color w:val="auto"/>
          <w:sz w:val="20"/>
          <w:szCs w:val="20"/>
          <w:highlight w:val="yellow"/>
          <w:vertAlign w:val="superscript"/>
        </w:rPr>
        <w:t>th</w:t>
      </w:r>
      <w:r w:rsidR="00F54CFC" w:rsidRPr="00F54CFC">
        <w:rPr>
          <w:rFonts w:ascii="Arial" w:hAnsi="Arial" w:cs="Arial"/>
          <w:b/>
          <w:color w:val="auto"/>
          <w:sz w:val="20"/>
          <w:szCs w:val="20"/>
          <w:highlight w:val="yellow"/>
        </w:rPr>
        <w:t xml:space="preserve"> May</w:t>
      </w:r>
      <w:r w:rsidRPr="00F54CFC">
        <w:rPr>
          <w:rFonts w:ascii="Arial" w:hAnsi="Arial" w:cs="Arial"/>
          <w:b/>
          <w:color w:val="auto"/>
          <w:sz w:val="20"/>
          <w:szCs w:val="20"/>
          <w:highlight w:val="yellow"/>
        </w:rPr>
        <w:t xml:space="preserve"> </w:t>
      </w:r>
      <w:r w:rsidRPr="00D2201A">
        <w:rPr>
          <w:rFonts w:ascii="Arial" w:hAnsi="Arial" w:cs="Arial"/>
          <w:b/>
          <w:color w:val="auto"/>
          <w:sz w:val="20"/>
          <w:szCs w:val="20"/>
          <w:highlight w:val="yellow"/>
        </w:rPr>
        <w:t>2018</w:t>
      </w:r>
      <w:r w:rsidRPr="00D2201A">
        <w:rPr>
          <w:rFonts w:ascii="Arial" w:hAnsi="Arial" w:cs="Arial"/>
          <w:b/>
          <w:color w:val="auto"/>
          <w:sz w:val="20"/>
          <w:szCs w:val="20"/>
        </w:rPr>
        <w:t xml:space="preserve"> </w:t>
      </w:r>
      <w:r w:rsidRPr="00D2201A">
        <w:rPr>
          <w:rFonts w:ascii="Arial" w:hAnsi="Arial" w:cs="Arial"/>
          <w:color w:val="auto"/>
          <w:sz w:val="20"/>
          <w:szCs w:val="20"/>
        </w:rPr>
        <w:t xml:space="preserve">– </w:t>
      </w:r>
      <w:r w:rsidRPr="00D2201A">
        <w:rPr>
          <w:rFonts w:ascii="Arial" w:hAnsi="Arial" w:cs="Arial"/>
          <w:color w:val="auto"/>
          <w:sz w:val="20"/>
          <w:szCs w:val="20"/>
          <w:highlight w:val="yellow"/>
        </w:rPr>
        <w:t>Farnell element14</w:t>
      </w:r>
      <w:r w:rsidRPr="00D2201A">
        <w:rPr>
          <w:rFonts w:ascii="Arial" w:hAnsi="Arial" w:cs="Arial"/>
          <w:color w:val="auto"/>
          <w:sz w:val="20"/>
          <w:szCs w:val="20"/>
        </w:rPr>
        <w:t xml:space="preserve">, the Development Distributor, </w:t>
      </w:r>
      <w:r w:rsidR="004D1FF2" w:rsidRPr="00D2201A">
        <w:rPr>
          <w:rFonts w:ascii="Arial" w:hAnsi="Arial" w:cs="Arial"/>
          <w:color w:val="auto"/>
          <w:sz w:val="20"/>
          <w:szCs w:val="20"/>
        </w:rPr>
        <w:t xml:space="preserve">is supporting </w:t>
      </w:r>
      <w:r w:rsidR="00FC1A00" w:rsidRPr="00D2201A">
        <w:rPr>
          <w:rFonts w:ascii="Arial" w:hAnsi="Arial" w:cs="Arial"/>
          <w:color w:val="auto"/>
          <w:sz w:val="20"/>
          <w:szCs w:val="20"/>
        </w:rPr>
        <w:t>customers</w:t>
      </w:r>
      <w:r w:rsidR="004D1FF2" w:rsidRPr="00D2201A">
        <w:rPr>
          <w:rFonts w:ascii="Arial" w:hAnsi="Arial" w:cs="Arial"/>
          <w:color w:val="auto"/>
          <w:sz w:val="20"/>
          <w:szCs w:val="20"/>
        </w:rPr>
        <w:t xml:space="preserve"> of the Xilinx</w:t>
      </w:r>
      <w:r w:rsidR="004606F9" w:rsidRPr="00D2201A">
        <w:rPr>
          <w:rFonts w:ascii="Arial" w:hAnsi="Arial" w:cs="Arial"/>
          <w:color w:val="auto"/>
          <w:sz w:val="20"/>
          <w:szCs w:val="20"/>
        </w:rPr>
        <w:t>®</w:t>
      </w:r>
      <w:r w:rsidR="004D1FF2" w:rsidRPr="00D2201A">
        <w:rPr>
          <w:rFonts w:ascii="Arial" w:hAnsi="Arial" w:cs="Arial"/>
          <w:color w:val="auto"/>
          <w:sz w:val="20"/>
          <w:szCs w:val="20"/>
        </w:rPr>
        <w:t xml:space="preserve"> Zynq</w:t>
      </w:r>
      <w:r w:rsidR="004606F9" w:rsidRPr="00D2201A">
        <w:rPr>
          <w:rFonts w:ascii="Arial" w:hAnsi="Arial" w:cs="Arial"/>
          <w:color w:val="auto"/>
          <w:sz w:val="20"/>
          <w:szCs w:val="20"/>
        </w:rPr>
        <w:t>®</w:t>
      </w:r>
      <w:r w:rsidR="004D1FF2" w:rsidRPr="00D2201A">
        <w:rPr>
          <w:rFonts w:ascii="Arial" w:hAnsi="Arial" w:cs="Arial"/>
          <w:color w:val="auto"/>
          <w:sz w:val="20"/>
          <w:szCs w:val="20"/>
        </w:rPr>
        <w:t xml:space="preserve"> </w:t>
      </w:r>
      <w:proofErr w:type="spellStart"/>
      <w:r w:rsidR="004D1FF2" w:rsidRPr="00D2201A">
        <w:rPr>
          <w:rFonts w:ascii="Arial" w:hAnsi="Arial" w:cs="Arial"/>
          <w:color w:val="auto"/>
          <w:sz w:val="20"/>
          <w:szCs w:val="20"/>
        </w:rPr>
        <w:t>UltraScale</w:t>
      </w:r>
      <w:proofErr w:type="spellEnd"/>
      <w:r w:rsidR="004D1FF2" w:rsidRPr="00D2201A">
        <w:rPr>
          <w:rFonts w:ascii="Arial" w:hAnsi="Arial" w:cs="Arial"/>
          <w:color w:val="auto"/>
          <w:sz w:val="20"/>
          <w:szCs w:val="20"/>
        </w:rPr>
        <w:t>+</w:t>
      </w:r>
      <w:r w:rsidR="004606F9" w:rsidRPr="00D2201A">
        <w:rPr>
          <w:rFonts w:ascii="Arial" w:hAnsi="Arial" w:cs="Arial"/>
          <w:color w:val="auto"/>
          <w:sz w:val="20"/>
          <w:szCs w:val="20"/>
        </w:rPr>
        <w:t>™</w:t>
      </w:r>
      <w:r w:rsidR="004D1FF2" w:rsidRPr="00D2201A">
        <w:rPr>
          <w:rFonts w:ascii="Arial" w:hAnsi="Arial" w:cs="Arial"/>
          <w:color w:val="auto"/>
          <w:sz w:val="20"/>
          <w:szCs w:val="20"/>
        </w:rPr>
        <w:t xml:space="preserve"> </w:t>
      </w:r>
      <w:proofErr w:type="spellStart"/>
      <w:r w:rsidR="004606F9" w:rsidRPr="00D2201A">
        <w:rPr>
          <w:rFonts w:ascii="Arial" w:hAnsi="Arial" w:cs="Arial"/>
          <w:color w:val="auto"/>
          <w:sz w:val="20"/>
          <w:szCs w:val="20"/>
        </w:rPr>
        <w:t>MPSoC</w:t>
      </w:r>
      <w:proofErr w:type="spellEnd"/>
      <w:r w:rsidR="004606F9" w:rsidRPr="00D2201A">
        <w:rPr>
          <w:rFonts w:ascii="Arial" w:hAnsi="Arial" w:cs="Arial"/>
          <w:color w:val="auto"/>
          <w:sz w:val="20"/>
          <w:szCs w:val="20"/>
        </w:rPr>
        <w:t xml:space="preserve"> </w:t>
      </w:r>
      <w:r w:rsidR="004D1FF2" w:rsidRPr="00D2201A">
        <w:rPr>
          <w:rFonts w:ascii="Arial" w:hAnsi="Arial" w:cs="Arial"/>
          <w:color w:val="auto"/>
          <w:sz w:val="20"/>
          <w:szCs w:val="20"/>
        </w:rPr>
        <w:t xml:space="preserve">family with the launch of </w:t>
      </w:r>
      <w:r w:rsidR="00C92E7C" w:rsidRPr="00D2201A">
        <w:rPr>
          <w:rFonts w:ascii="Arial" w:hAnsi="Arial" w:cs="Arial"/>
          <w:color w:val="auto"/>
          <w:sz w:val="20"/>
          <w:szCs w:val="20"/>
        </w:rPr>
        <w:t>two</w:t>
      </w:r>
      <w:r w:rsidR="004D1FF2" w:rsidRPr="00D2201A">
        <w:rPr>
          <w:rFonts w:ascii="Arial" w:hAnsi="Arial" w:cs="Arial"/>
          <w:color w:val="auto"/>
          <w:sz w:val="20"/>
          <w:szCs w:val="20"/>
        </w:rPr>
        <w:t xml:space="preserve"> </w:t>
      </w:r>
      <w:hyperlink r:id="rId8" w:history="1">
        <w:r w:rsidR="004D1FF2" w:rsidRPr="00D2201A">
          <w:rPr>
            <w:rStyle w:val="Hyperlink"/>
            <w:rFonts w:ascii="Arial" w:hAnsi="Arial" w:cs="Arial"/>
            <w:sz w:val="20"/>
            <w:szCs w:val="20"/>
            <w:highlight w:val="yellow"/>
          </w:rPr>
          <w:t>Texas Instruments reference design</w:t>
        </w:r>
      </w:hyperlink>
      <w:r w:rsidR="00C92E7C" w:rsidRPr="00D2201A">
        <w:rPr>
          <w:rStyle w:val="Hyperlink"/>
          <w:rFonts w:ascii="Arial" w:hAnsi="Arial" w:cs="Arial"/>
          <w:sz w:val="20"/>
          <w:szCs w:val="20"/>
          <w:highlight w:val="yellow"/>
        </w:rPr>
        <w:t>s</w:t>
      </w:r>
      <w:r w:rsidR="004D1FF2" w:rsidRPr="00D2201A">
        <w:rPr>
          <w:rFonts w:ascii="Arial" w:hAnsi="Arial" w:cs="Arial"/>
          <w:color w:val="auto"/>
          <w:sz w:val="20"/>
          <w:szCs w:val="20"/>
        </w:rPr>
        <w:t xml:space="preserve"> </w:t>
      </w:r>
      <w:r w:rsidR="00C92E7C" w:rsidRPr="00D2201A">
        <w:rPr>
          <w:rFonts w:ascii="Arial" w:hAnsi="Arial" w:cs="Arial"/>
          <w:color w:val="auto"/>
          <w:sz w:val="20"/>
          <w:szCs w:val="20"/>
        </w:rPr>
        <w:t>to</w:t>
      </w:r>
      <w:r w:rsidR="004D1FF2" w:rsidRPr="00D2201A">
        <w:rPr>
          <w:rFonts w:ascii="Arial" w:hAnsi="Arial" w:cs="Arial"/>
          <w:color w:val="auto"/>
          <w:sz w:val="20"/>
          <w:szCs w:val="20"/>
        </w:rPr>
        <w:t xml:space="preserve"> ease the development of power solutions for customers developing innovative applications using these devices.</w:t>
      </w:r>
    </w:p>
    <w:p w14:paraId="7C1BB18F" w14:textId="77777777" w:rsidR="00981FA2" w:rsidRPr="00D2201A" w:rsidRDefault="00981FA2" w:rsidP="00281809">
      <w:pPr>
        <w:widowControl w:val="0"/>
        <w:spacing w:line="276" w:lineRule="auto"/>
        <w:rPr>
          <w:rFonts w:ascii="Arial" w:hAnsi="Arial" w:cs="Arial"/>
          <w:color w:val="auto"/>
          <w:sz w:val="20"/>
          <w:szCs w:val="20"/>
        </w:rPr>
      </w:pPr>
      <w:bookmarkStart w:id="0" w:name="_GoBack"/>
      <w:bookmarkEnd w:id="0"/>
    </w:p>
    <w:p w14:paraId="4D77BA40" w14:textId="7CF9D949" w:rsidR="00981FA2" w:rsidRPr="00D2201A" w:rsidRDefault="00C92E7C" w:rsidP="00281809">
      <w:pPr>
        <w:widowControl w:val="0"/>
        <w:spacing w:line="276" w:lineRule="auto"/>
        <w:rPr>
          <w:rFonts w:ascii="Arial" w:hAnsi="Arial" w:cs="Arial"/>
          <w:color w:val="auto"/>
          <w:sz w:val="20"/>
          <w:szCs w:val="20"/>
        </w:rPr>
      </w:pPr>
      <w:r w:rsidRPr="00D2201A">
        <w:rPr>
          <w:rFonts w:ascii="Arial" w:hAnsi="Arial" w:cs="Arial"/>
          <w:color w:val="auto"/>
          <w:sz w:val="20"/>
          <w:szCs w:val="20"/>
        </w:rPr>
        <w:t>Each</w:t>
      </w:r>
      <w:r w:rsidR="004D1FF2" w:rsidRPr="00D2201A">
        <w:rPr>
          <w:rFonts w:ascii="Arial" w:hAnsi="Arial" w:cs="Arial"/>
          <w:color w:val="auto"/>
          <w:sz w:val="20"/>
          <w:szCs w:val="20"/>
        </w:rPr>
        <w:t xml:space="preserve"> reference design, which provides customers with an easy way to prototype their designs before </w:t>
      </w:r>
      <w:r w:rsidR="0040043B" w:rsidRPr="00D2201A">
        <w:rPr>
          <w:rFonts w:ascii="Arial" w:hAnsi="Arial" w:cs="Arial"/>
          <w:color w:val="auto"/>
          <w:sz w:val="20"/>
          <w:szCs w:val="20"/>
        </w:rPr>
        <w:t xml:space="preserve">fully </w:t>
      </w:r>
      <w:r w:rsidR="004D1FF2" w:rsidRPr="00D2201A">
        <w:rPr>
          <w:rFonts w:ascii="Arial" w:hAnsi="Arial" w:cs="Arial"/>
          <w:color w:val="auto"/>
          <w:sz w:val="20"/>
          <w:szCs w:val="20"/>
        </w:rPr>
        <w:t>understanding their power needs, is a scalable power supply designed</w:t>
      </w:r>
      <w:r w:rsidR="00D91F6A" w:rsidRPr="00D2201A">
        <w:rPr>
          <w:rFonts w:ascii="Arial" w:hAnsi="Arial" w:cs="Arial"/>
          <w:color w:val="auto"/>
          <w:sz w:val="20"/>
          <w:szCs w:val="20"/>
        </w:rPr>
        <w:t xml:space="preserve"> to provide power to the Xilinx</w:t>
      </w:r>
      <w:r w:rsidR="0019729E" w:rsidRPr="00D2201A">
        <w:rPr>
          <w:rFonts w:ascii="Arial" w:hAnsi="Arial" w:cs="Arial"/>
          <w:color w:val="auto"/>
          <w:sz w:val="20"/>
          <w:szCs w:val="20"/>
        </w:rPr>
        <w:t xml:space="preserve"> </w:t>
      </w:r>
      <w:r w:rsidR="0040043B" w:rsidRPr="00D2201A">
        <w:rPr>
          <w:rFonts w:ascii="Arial" w:hAnsi="Arial" w:cs="Arial"/>
          <w:color w:val="auto"/>
          <w:sz w:val="20"/>
          <w:szCs w:val="20"/>
        </w:rPr>
        <w:t xml:space="preserve">Zynq </w:t>
      </w:r>
      <w:proofErr w:type="spellStart"/>
      <w:r w:rsidR="0040043B" w:rsidRPr="00D2201A">
        <w:rPr>
          <w:rFonts w:ascii="Arial" w:hAnsi="Arial" w:cs="Arial"/>
          <w:color w:val="auto"/>
          <w:sz w:val="20"/>
          <w:szCs w:val="20"/>
        </w:rPr>
        <w:t>UltraScale</w:t>
      </w:r>
      <w:proofErr w:type="spellEnd"/>
      <w:r w:rsidR="0040043B" w:rsidRPr="00D2201A">
        <w:rPr>
          <w:rFonts w:ascii="Arial" w:hAnsi="Arial" w:cs="Arial"/>
          <w:color w:val="auto"/>
          <w:sz w:val="20"/>
          <w:szCs w:val="20"/>
        </w:rPr>
        <w:t>+</w:t>
      </w:r>
      <w:r w:rsidR="004D1FF2" w:rsidRPr="00D2201A">
        <w:rPr>
          <w:rFonts w:ascii="Arial" w:hAnsi="Arial" w:cs="Arial"/>
          <w:color w:val="auto"/>
          <w:sz w:val="20"/>
          <w:szCs w:val="20"/>
        </w:rPr>
        <w:t xml:space="preserve"> famil</w:t>
      </w:r>
      <w:r w:rsidR="0040043B" w:rsidRPr="00D2201A">
        <w:rPr>
          <w:rFonts w:ascii="Arial" w:hAnsi="Arial" w:cs="Arial"/>
          <w:color w:val="auto"/>
          <w:sz w:val="20"/>
          <w:szCs w:val="20"/>
        </w:rPr>
        <w:t>y</w:t>
      </w:r>
      <w:r w:rsidR="004D1FF2" w:rsidRPr="00D2201A">
        <w:rPr>
          <w:rFonts w:ascii="Arial" w:hAnsi="Arial" w:cs="Arial"/>
          <w:color w:val="auto"/>
          <w:sz w:val="20"/>
          <w:szCs w:val="20"/>
        </w:rPr>
        <w:t xml:space="preserve"> of FPGA-based </w:t>
      </w:r>
      <w:proofErr w:type="spellStart"/>
      <w:r w:rsidR="0040043B" w:rsidRPr="00D2201A">
        <w:rPr>
          <w:rFonts w:ascii="Arial" w:hAnsi="Arial" w:cs="Arial"/>
          <w:color w:val="auto"/>
          <w:sz w:val="20"/>
          <w:szCs w:val="20"/>
        </w:rPr>
        <w:t>MPSoC</w:t>
      </w:r>
      <w:proofErr w:type="spellEnd"/>
      <w:r w:rsidR="0040043B" w:rsidRPr="00D2201A">
        <w:rPr>
          <w:rFonts w:ascii="Arial" w:hAnsi="Arial" w:cs="Arial"/>
          <w:color w:val="auto"/>
          <w:sz w:val="20"/>
          <w:szCs w:val="20"/>
        </w:rPr>
        <w:t xml:space="preserve"> </w:t>
      </w:r>
      <w:r w:rsidR="004D1FF2" w:rsidRPr="00D2201A">
        <w:rPr>
          <w:rFonts w:ascii="Arial" w:hAnsi="Arial" w:cs="Arial"/>
          <w:color w:val="auto"/>
          <w:sz w:val="20"/>
          <w:szCs w:val="20"/>
        </w:rPr>
        <w:t>devices. The design</w:t>
      </w:r>
      <w:r w:rsidRPr="00D2201A">
        <w:rPr>
          <w:rFonts w:ascii="Arial" w:hAnsi="Arial" w:cs="Arial"/>
          <w:color w:val="auto"/>
          <w:sz w:val="20"/>
          <w:szCs w:val="20"/>
        </w:rPr>
        <w:t>s</w:t>
      </w:r>
      <w:r w:rsidR="004D1FF2" w:rsidRPr="00D2201A">
        <w:rPr>
          <w:rFonts w:ascii="Arial" w:hAnsi="Arial" w:cs="Arial"/>
          <w:color w:val="auto"/>
          <w:sz w:val="20"/>
          <w:szCs w:val="20"/>
        </w:rPr>
        <w:t xml:space="preserve"> receive power from a standard DC power supply and provide power to all rails of the Xilinx chipset and DDR memory through a well-defined </w:t>
      </w:r>
      <w:proofErr w:type="spellStart"/>
      <w:r w:rsidR="004D1FF2" w:rsidRPr="00D2201A">
        <w:rPr>
          <w:rFonts w:ascii="Arial" w:hAnsi="Arial" w:cs="Arial"/>
          <w:color w:val="auto"/>
          <w:sz w:val="20"/>
          <w:szCs w:val="20"/>
        </w:rPr>
        <w:t>Samtec</w:t>
      </w:r>
      <w:proofErr w:type="spellEnd"/>
      <w:r w:rsidR="004D1FF2" w:rsidRPr="00D2201A">
        <w:rPr>
          <w:rFonts w:ascii="Arial" w:hAnsi="Arial" w:cs="Arial"/>
          <w:color w:val="auto"/>
          <w:sz w:val="20"/>
          <w:szCs w:val="20"/>
        </w:rPr>
        <w:t xml:space="preserve"> socket-terminal strip connection.</w:t>
      </w:r>
    </w:p>
    <w:p w14:paraId="05311A78" w14:textId="77777777" w:rsidR="004D1FF2" w:rsidRPr="00D2201A" w:rsidRDefault="004D1FF2" w:rsidP="00281809">
      <w:pPr>
        <w:widowControl w:val="0"/>
        <w:spacing w:line="276" w:lineRule="auto"/>
        <w:rPr>
          <w:rFonts w:ascii="Arial" w:hAnsi="Arial" w:cs="Arial"/>
          <w:color w:val="auto"/>
          <w:sz w:val="20"/>
          <w:szCs w:val="20"/>
        </w:rPr>
      </w:pPr>
    </w:p>
    <w:p w14:paraId="3F9202D2" w14:textId="76A5EE14" w:rsidR="004D1FF2" w:rsidRPr="00D2201A" w:rsidRDefault="004D1FF2" w:rsidP="00281809">
      <w:pPr>
        <w:widowControl w:val="0"/>
        <w:spacing w:line="276" w:lineRule="auto"/>
        <w:rPr>
          <w:rFonts w:ascii="Arial" w:hAnsi="Arial" w:cs="Arial"/>
          <w:color w:val="auto"/>
          <w:sz w:val="20"/>
          <w:szCs w:val="20"/>
        </w:rPr>
      </w:pPr>
      <w:r w:rsidRPr="00D2201A">
        <w:rPr>
          <w:rFonts w:ascii="Arial" w:hAnsi="Arial" w:cs="Arial"/>
          <w:color w:val="auto"/>
          <w:sz w:val="20"/>
          <w:szCs w:val="20"/>
          <w:highlight w:val="yellow"/>
        </w:rPr>
        <w:t xml:space="preserve">The </w:t>
      </w:r>
      <w:hyperlink r:id="rId9" w:history="1">
        <w:r w:rsidR="000F3079" w:rsidRPr="00D2201A">
          <w:rPr>
            <w:rStyle w:val="Hyperlink"/>
            <w:rFonts w:ascii="Arial" w:hAnsi="Arial" w:cs="Arial"/>
            <w:sz w:val="20"/>
            <w:szCs w:val="20"/>
            <w:highlight w:val="yellow"/>
          </w:rPr>
          <w:t xml:space="preserve">Integrated Power Supply Reference Design for Xilinx Zynq UltraScale+ZU2CG−ZU5EV </w:t>
        </w:r>
        <w:proofErr w:type="spellStart"/>
        <w:r w:rsidR="000F3079" w:rsidRPr="00D2201A">
          <w:rPr>
            <w:rStyle w:val="Hyperlink"/>
            <w:rFonts w:ascii="Arial" w:hAnsi="Arial" w:cs="Arial"/>
            <w:sz w:val="20"/>
            <w:szCs w:val="20"/>
            <w:highlight w:val="yellow"/>
          </w:rPr>
          <w:t>MPSoCs</w:t>
        </w:r>
        <w:proofErr w:type="spellEnd"/>
      </w:hyperlink>
      <w:r w:rsidR="000F3079" w:rsidRPr="00D2201A">
        <w:rPr>
          <w:rFonts w:ascii="Arial" w:hAnsi="Arial" w:cs="Arial"/>
          <w:color w:val="auto"/>
          <w:sz w:val="20"/>
          <w:szCs w:val="20"/>
        </w:rPr>
        <w:t xml:space="preserve"> </w:t>
      </w:r>
      <w:r w:rsidRPr="00D2201A">
        <w:rPr>
          <w:rFonts w:ascii="Arial" w:hAnsi="Arial" w:cs="Arial"/>
          <w:color w:val="auto"/>
          <w:sz w:val="20"/>
          <w:szCs w:val="20"/>
        </w:rPr>
        <w:t xml:space="preserve">is scalable to support </w:t>
      </w:r>
      <w:r w:rsidR="0040043B" w:rsidRPr="00D2201A">
        <w:rPr>
          <w:rFonts w:ascii="Arial" w:hAnsi="Arial" w:cs="Arial"/>
          <w:color w:val="auto"/>
          <w:sz w:val="20"/>
          <w:szCs w:val="20"/>
        </w:rPr>
        <w:t xml:space="preserve">ZU2CG-ZU3EG devices. In addition, </w:t>
      </w:r>
      <w:r w:rsidR="0040043B" w:rsidRPr="00D2201A">
        <w:rPr>
          <w:rFonts w:ascii="Arial" w:hAnsi="Arial" w:cs="Arial"/>
          <w:color w:val="auto"/>
          <w:sz w:val="20"/>
          <w:szCs w:val="20"/>
          <w:highlight w:val="yellow"/>
        </w:rPr>
        <w:t xml:space="preserve">the </w:t>
      </w:r>
      <w:hyperlink r:id="rId10" w:history="1">
        <w:r w:rsidR="0040043B" w:rsidRPr="00D2201A">
          <w:rPr>
            <w:rStyle w:val="Hyperlink"/>
            <w:rFonts w:ascii="Arial" w:hAnsi="Arial" w:cs="Arial"/>
            <w:sz w:val="20"/>
            <w:szCs w:val="20"/>
            <w:highlight w:val="yellow"/>
          </w:rPr>
          <w:t xml:space="preserve">Integrated Power Supply Reference Design for Xilinx </w:t>
        </w:r>
        <w:proofErr w:type="spellStart"/>
        <w:r w:rsidR="0040043B" w:rsidRPr="00D2201A">
          <w:rPr>
            <w:rStyle w:val="Hyperlink"/>
            <w:rFonts w:ascii="Arial" w:hAnsi="Arial" w:cs="Arial"/>
            <w:sz w:val="20"/>
            <w:szCs w:val="20"/>
            <w:highlight w:val="yellow"/>
          </w:rPr>
          <w:t>Artix</w:t>
        </w:r>
        <w:proofErr w:type="spellEnd"/>
        <w:r w:rsidR="0040043B" w:rsidRPr="00D2201A">
          <w:rPr>
            <w:rStyle w:val="Hyperlink"/>
            <w:rFonts w:ascii="Arial" w:hAnsi="Arial" w:cs="Arial"/>
            <w:sz w:val="20"/>
            <w:szCs w:val="20"/>
            <w:highlight w:val="yellow"/>
          </w:rPr>
          <w:t xml:space="preserve">®-7 </w:t>
        </w:r>
        <w:r w:rsidR="005A4483" w:rsidRPr="00D2201A">
          <w:rPr>
            <w:rStyle w:val="Hyperlink"/>
            <w:rFonts w:ascii="Arial" w:hAnsi="Arial" w:cs="Arial"/>
            <w:sz w:val="20"/>
            <w:szCs w:val="20"/>
            <w:highlight w:val="yellow"/>
          </w:rPr>
          <w:t xml:space="preserve">and </w:t>
        </w:r>
        <w:r w:rsidR="0040043B" w:rsidRPr="00D2201A">
          <w:rPr>
            <w:rStyle w:val="Hyperlink"/>
            <w:rFonts w:ascii="Arial" w:hAnsi="Arial" w:cs="Arial"/>
            <w:sz w:val="20"/>
            <w:szCs w:val="20"/>
            <w:highlight w:val="yellow"/>
          </w:rPr>
          <w:t>Spartan®-7</w:t>
        </w:r>
        <w:r w:rsidR="005A4483" w:rsidRPr="00D2201A">
          <w:rPr>
            <w:rStyle w:val="Hyperlink"/>
            <w:rFonts w:ascii="Arial" w:hAnsi="Arial" w:cs="Arial"/>
            <w:sz w:val="20"/>
            <w:szCs w:val="20"/>
            <w:highlight w:val="yellow"/>
          </w:rPr>
          <w:t xml:space="preserve"> FPGAs</w:t>
        </w:r>
        <w:r w:rsidR="0040043B" w:rsidRPr="00D2201A">
          <w:rPr>
            <w:rStyle w:val="Hyperlink"/>
            <w:rFonts w:ascii="Arial" w:hAnsi="Arial" w:cs="Arial"/>
            <w:sz w:val="20"/>
            <w:szCs w:val="20"/>
            <w:highlight w:val="yellow"/>
          </w:rPr>
          <w:t xml:space="preserve">, and Zynq®-7000 </w:t>
        </w:r>
        <w:r w:rsidR="005A4483" w:rsidRPr="00D2201A">
          <w:rPr>
            <w:rStyle w:val="Hyperlink"/>
            <w:rFonts w:ascii="Arial" w:hAnsi="Arial" w:cs="Arial"/>
            <w:sz w:val="20"/>
            <w:szCs w:val="20"/>
            <w:highlight w:val="yellow"/>
          </w:rPr>
          <w:t>SoCs</w:t>
        </w:r>
      </w:hyperlink>
      <w:r w:rsidR="0040043B" w:rsidRPr="00D2201A">
        <w:rPr>
          <w:rFonts w:ascii="Arial" w:hAnsi="Arial" w:cs="Arial"/>
          <w:color w:val="auto"/>
          <w:sz w:val="20"/>
          <w:szCs w:val="20"/>
        </w:rPr>
        <w:t xml:space="preserve"> is further scalable to support </w:t>
      </w:r>
      <w:r w:rsidRPr="00D2201A">
        <w:rPr>
          <w:rFonts w:ascii="Arial" w:hAnsi="Arial" w:cs="Arial"/>
          <w:color w:val="auto"/>
          <w:sz w:val="20"/>
          <w:szCs w:val="20"/>
        </w:rPr>
        <w:t xml:space="preserve">the most basic Spartan-7 FPGA device, a more complex Artix-7 FPGA with multigigabit transceivers, and up to the Zynq-7000 </w:t>
      </w:r>
      <w:r w:rsidR="000B72F9" w:rsidRPr="00D2201A">
        <w:rPr>
          <w:rFonts w:ascii="Arial" w:hAnsi="Arial" w:cs="Arial"/>
          <w:color w:val="auto"/>
          <w:sz w:val="20"/>
          <w:szCs w:val="20"/>
        </w:rPr>
        <w:t xml:space="preserve">SoC </w:t>
      </w:r>
      <w:r w:rsidRPr="00D2201A">
        <w:rPr>
          <w:rFonts w:ascii="Arial" w:hAnsi="Arial" w:cs="Arial"/>
          <w:color w:val="auto"/>
          <w:sz w:val="20"/>
          <w:szCs w:val="20"/>
        </w:rPr>
        <w:t>with a dual-core Arm® Cortex®-A9 processor</w:t>
      </w:r>
      <w:r w:rsidR="000602C4" w:rsidRPr="00D2201A">
        <w:rPr>
          <w:rFonts w:ascii="Arial" w:hAnsi="Arial" w:cs="Arial"/>
          <w:color w:val="auto"/>
          <w:sz w:val="20"/>
          <w:szCs w:val="20"/>
        </w:rPr>
        <w:t>.</w:t>
      </w:r>
    </w:p>
    <w:p w14:paraId="5E5266E8" w14:textId="77777777" w:rsidR="000602C4" w:rsidRPr="00D2201A" w:rsidRDefault="000602C4" w:rsidP="00281809">
      <w:pPr>
        <w:widowControl w:val="0"/>
        <w:spacing w:line="276" w:lineRule="auto"/>
        <w:rPr>
          <w:rFonts w:ascii="Arial" w:hAnsi="Arial" w:cs="Arial"/>
          <w:color w:val="auto"/>
          <w:sz w:val="20"/>
          <w:szCs w:val="20"/>
        </w:rPr>
      </w:pPr>
    </w:p>
    <w:p w14:paraId="5F830250" w14:textId="764032CF" w:rsidR="00981FA2" w:rsidRPr="00D2201A" w:rsidRDefault="00C92E7C" w:rsidP="00281809">
      <w:pPr>
        <w:widowControl w:val="0"/>
        <w:spacing w:line="276" w:lineRule="auto"/>
        <w:rPr>
          <w:rFonts w:ascii="Arial" w:hAnsi="Arial" w:cs="Arial"/>
          <w:color w:val="auto"/>
          <w:sz w:val="20"/>
          <w:szCs w:val="20"/>
        </w:rPr>
      </w:pPr>
      <w:r w:rsidRPr="00D2201A">
        <w:rPr>
          <w:rFonts w:ascii="Arial" w:hAnsi="Arial" w:cs="Arial"/>
          <w:color w:val="auto"/>
          <w:sz w:val="20"/>
          <w:szCs w:val="20"/>
        </w:rPr>
        <w:t>As</w:t>
      </w:r>
      <w:r w:rsidR="004A73DB" w:rsidRPr="00D2201A">
        <w:rPr>
          <w:rFonts w:ascii="Arial" w:hAnsi="Arial" w:cs="Arial"/>
          <w:color w:val="auto"/>
          <w:sz w:val="20"/>
          <w:szCs w:val="20"/>
        </w:rPr>
        <w:t xml:space="preserve"> th</w:t>
      </w:r>
      <w:r w:rsidR="002F4D42" w:rsidRPr="00D2201A">
        <w:rPr>
          <w:rFonts w:ascii="Arial" w:hAnsi="Arial" w:cs="Arial"/>
          <w:color w:val="auto"/>
          <w:sz w:val="20"/>
          <w:szCs w:val="20"/>
        </w:rPr>
        <w:t>e</w:t>
      </w:r>
      <w:r w:rsidR="004A73DB" w:rsidRPr="00D2201A">
        <w:rPr>
          <w:rFonts w:ascii="Arial" w:hAnsi="Arial" w:cs="Arial"/>
          <w:color w:val="auto"/>
          <w:sz w:val="20"/>
          <w:szCs w:val="20"/>
        </w:rPr>
        <w:t xml:space="preserve"> </w:t>
      </w:r>
      <w:r w:rsidR="002F4D42" w:rsidRPr="00D2201A">
        <w:rPr>
          <w:rFonts w:ascii="Arial" w:hAnsi="Arial" w:cs="Arial"/>
          <w:color w:val="auto"/>
          <w:sz w:val="20"/>
          <w:szCs w:val="20"/>
        </w:rPr>
        <w:t xml:space="preserve">two </w:t>
      </w:r>
      <w:r w:rsidR="004A73DB" w:rsidRPr="00D2201A">
        <w:rPr>
          <w:rFonts w:ascii="Arial" w:hAnsi="Arial" w:cs="Arial"/>
          <w:color w:val="auto"/>
          <w:sz w:val="20"/>
          <w:szCs w:val="20"/>
        </w:rPr>
        <w:t>reference design</w:t>
      </w:r>
      <w:r w:rsidR="002F4D42" w:rsidRPr="00D2201A">
        <w:rPr>
          <w:rFonts w:ascii="Arial" w:hAnsi="Arial" w:cs="Arial"/>
          <w:color w:val="auto"/>
          <w:sz w:val="20"/>
          <w:szCs w:val="20"/>
        </w:rPr>
        <w:t>s shar</w:t>
      </w:r>
      <w:r w:rsidRPr="00D2201A">
        <w:rPr>
          <w:rFonts w:ascii="Arial" w:hAnsi="Arial" w:cs="Arial"/>
          <w:color w:val="auto"/>
          <w:sz w:val="20"/>
          <w:szCs w:val="20"/>
        </w:rPr>
        <w:t>e</w:t>
      </w:r>
      <w:r w:rsidR="002F4D42" w:rsidRPr="00D2201A">
        <w:rPr>
          <w:rFonts w:ascii="Arial" w:hAnsi="Arial" w:cs="Arial"/>
          <w:color w:val="auto"/>
          <w:sz w:val="20"/>
          <w:szCs w:val="20"/>
        </w:rPr>
        <w:t xml:space="preserve"> the same concept and prototype PCB</w:t>
      </w:r>
      <w:r w:rsidR="004A73DB" w:rsidRPr="00D2201A">
        <w:rPr>
          <w:rFonts w:ascii="Arial" w:hAnsi="Arial" w:cs="Arial"/>
          <w:color w:val="auto"/>
          <w:sz w:val="20"/>
          <w:szCs w:val="20"/>
        </w:rPr>
        <w:t>, c</w:t>
      </w:r>
      <w:r w:rsidR="004D1FF2" w:rsidRPr="00D2201A">
        <w:rPr>
          <w:rFonts w:ascii="Arial" w:hAnsi="Arial" w:cs="Arial"/>
          <w:color w:val="auto"/>
          <w:sz w:val="20"/>
          <w:szCs w:val="20"/>
        </w:rPr>
        <w:t xml:space="preserve">ustomers </w:t>
      </w:r>
      <w:r w:rsidR="004A73DB" w:rsidRPr="00D2201A">
        <w:rPr>
          <w:rFonts w:ascii="Arial" w:hAnsi="Arial" w:cs="Arial"/>
          <w:color w:val="auto"/>
          <w:sz w:val="20"/>
          <w:szCs w:val="20"/>
        </w:rPr>
        <w:t xml:space="preserve">can use </w:t>
      </w:r>
      <w:r w:rsidR="00281809" w:rsidRPr="00D2201A">
        <w:rPr>
          <w:rFonts w:ascii="Arial" w:hAnsi="Arial" w:cs="Arial"/>
          <w:color w:val="auto"/>
          <w:sz w:val="20"/>
          <w:szCs w:val="20"/>
        </w:rPr>
        <w:t>the same</w:t>
      </w:r>
      <w:r w:rsidR="004D1FF2" w:rsidRPr="00D2201A">
        <w:rPr>
          <w:rFonts w:ascii="Arial" w:hAnsi="Arial" w:cs="Arial"/>
          <w:color w:val="auto"/>
          <w:sz w:val="20"/>
          <w:szCs w:val="20"/>
        </w:rPr>
        <w:t xml:space="preserve"> power design across the Xilinx Zynq </w:t>
      </w:r>
      <w:proofErr w:type="spellStart"/>
      <w:r w:rsidR="004D1FF2" w:rsidRPr="00D2201A">
        <w:rPr>
          <w:rFonts w:ascii="Arial" w:hAnsi="Arial" w:cs="Arial"/>
          <w:color w:val="auto"/>
          <w:sz w:val="20"/>
          <w:szCs w:val="20"/>
        </w:rPr>
        <w:t>UltraScale</w:t>
      </w:r>
      <w:proofErr w:type="spellEnd"/>
      <w:r w:rsidR="004D1FF2" w:rsidRPr="00D2201A">
        <w:rPr>
          <w:rFonts w:ascii="Arial" w:hAnsi="Arial" w:cs="Arial"/>
          <w:color w:val="auto"/>
          <w:sz w:val="20"/>
          <w:szCs w:val="20"/>
        </w:rPr>
        <w:t>+ family and the Xilinx cost-optimi</w:t>
      </w:r>
      <w:r w:rsidR="009617D1" w:rsidRPr="00D2201A">
        <w:rPr>
          <w:rFonts w:ascii="Arial" w:hAnsi="Arial" w:cs="Arial"/>
          <w:color w:val="auto"/>
          <w:sz w:val="20"/>
          <w:szCs w:val="20"/>
        </w:rPr>
        <w:t>z</w:t>
      </w:r>
      <w:r w:rsidR="004D1FF2" w:rsidRPr="00D2201A">
        <w:rPr>
          <w:rFonts w:ascii="Arial" w:hAnsi="Arial" w:cs="Arial"/>
          <w:color w:val="auto"/>
          <w:sz w:val="20"/>
          <w:szCs w:val="20"/>
        </w:rPr>
        <w:t xml:space="preserve">ed portfolio. </w:t>
      </w:r>
      <w:r w:rsidR="009617D1" w:rsidRPr="00D2201A">
        <w:rPr>
          <w:rFonts w:ascii="Arial" w:hAnsi="Arial" w:cs="Arial"/>
          <w:color w:val="auto"/>
          <w:sz w:val="20"/>
          <w:szCs w:val="20"/>
        </w:rPr>
        <w:t>P</w:t>
      </w:r>
      <w:r w:rsidR="004D1FF2" w:rsidRPr="00D2201A">
        <w:rPr>
          <w:rFonts w:ascii="Arial" w:hAnsi="Arial" w:cs="Arial"/>
          <w:color w:val="auto"/>
          <w:sz w:val="20"/>
          <w:szCs w:val="20"/>
        </w:rPr>
        <w:t>ower solutions for devices of this type</w:t>
      </w:r>
      <w:r w:rsidR="009617D1" w:rsidRPr="00D2201A">
        <w:rPr>
          <w:rFonts w:ascii="Arial" w:hAnsi="Arial" w:cs="Arial"/>
          <w:color w:val="auto"/>
          <w:sz w:val="20"/>
          <w:szCs w:val="20"/>
        </w:rPr>
        <w:t xml:space="preserve"> typically</w:t>
      </w:r>
      <w:r w:rsidR="004D1FF2" w:rsidRPr="00D2201A">
        <w:rPr>
          <w:rFonts w:ascii="Arial" w:hAnsi="Arial" w:cs="Arial"/>
          <w:color w:val="auto"/>
          <w:sz w:val="20"/>
          <w:szCs w:val="20"/>
        </w:rPr>
        <w:t xml:space="preserve"> require custom power-management ICs or use </w:t>
      </w:r>
      <w:r w:rsidR="009617D1" w:rsidRPr="00D2201A">
        <w:rPr>
          <w:rFonts w:ascii="Arial" w:hAnsi="Arial" w:cs="Arial"/>
          <w:color w:val="auto"/>
          <w:sz w:val="20"/>
          <w:szCs w:val="20"/>
        </w:rPr>
        <w:t>many</w:t>
      </w:r>
      <w:r w:rsidR="004D1FF2" w:rsidRPr="00D2201A">
        <w:rPr>
          <w:rFonts w:ascii="Arial" w:hAnsi="Arial" w:cs="Arial"/>
          <w:color w:val="auto"/>
          <w:sz w:val="20"/>
          <w:szCs w:val="20"/>
        </w:rPr>
        <w:t xml:space="preserve"> discrete power </w:t>
      </w:r>
      <w:r w:rsidR="009617D1" w:rsidRPr="00D2201A">
        <w:rPr>
          <w:rFonts w:ascii="Arial" w:hAnsi="Arial" w:cs="Arial"/>
          <w:color w:val="auto"/>
          <w:sz w:val="20"/>
          <w:szCs w:val="20"/>
        </w:rPr>
        <w:t>regulators</w:t>
      </w:r>
      <w:r w:rsidR="004D1FF2" w:rsidRPr="00D2201A">
        <w:rPr>
          <w:rFonts w:ascii="Arial" w:hAnsi="Arial" w:cs="Arial"/>
          <w:color w:val="auto"/>
          <w:sz w:val="20"/>
          <w:szCs w:val="20"/>
        </w:rPr>
        <w:t xml:space="preserve"> to provide power to FPGA platforms. The new solution results in a scalable design which features a configurable PMIC and individually selected discrete components.</w:t>
      </w:r>
    </w:p>
    <w:p w14:paraId="3FFC909A" w14:textId="77777777" w:rsidR="004D1FF2" w:rsidRPr="00D2201A" w:rsidRDefault="004D1FF2" w:rsidP="00281809">
      <w:pPr>
        <w:widowControl w:val="0"/>
        <w:spacing w:line="276" w:lineRule="auto"/>
        <w:rPr>
          <w:rFonts w:ascii="Arial" w:hAnsi="Arial" w:cs="Arial"/>
          <w:color w:val="auto"/>
          <w:sz w:val="20"/>
          <w:szCs w:val="20"/>
        </w:rPr>
      </w:pPr>
    </w:p>
    <w:p w14:paraId="5744401B" w14:textId="672A7D68" w:rsidR="00981FA2" w:rsidRPr="00D2201A" w:rsidRDefault="004D1FF2" w:rsidP="00281809">
      <w:pPr>
        <w:widowControl w:val="0"/>
        <w:spacing w:line="276" w:lineRule="auto"/>
        <w:rPr>
          <w:rFonts w:ascii="Arial" w:hAnsi="Arial" w:cs="Arial"/>
          <w:color w:val="auto"/>
          <w:sz w:val="20"/>
          <w:szCs w:val="20"/>
        </w:rPr>
      </w:pPr>
      <w:r w:rsidRPr="00D2201A">
        <w:rPr>
          <w:rFonts w:ascii="Arial" w:hAnsi="Arial" w:cs="Arial"/>
          <w:color w:val="auto"/>
          <w:sz w:val="20"/>
          <w:szCs w:val="20"/>
        </w:rPr>
        <w:t>The solution size is optimi</w:t>
      </w:r>
      <w:r w:rsidR="009617D1" w:rsidRPr="00D2201A">
        <w:rPr>
          <w:rFonts w:ascii="Arial" w:hAnsi="Arial" w:cs="Arial"/>
          <w:color w:val="auto"/>
          <w:sz w:val="20"/>
          <w:szCs w:val="20"/>
        </w:rPr>
        <w:t>z</w:t>
      </w:r>
      <w:r w:rsidRPr="00D2201A">
        <w:rPr>
          <w:rFonts w:ascii="Arial" w:hAnsi="Arial" w:cs="Arial"/>
          <w:color w:val="auto"/>
          <w:sz w:val="20"/>
          <w:szCs w:val="20"/>
        </w:rPr>
        <w:t>ed for each assembly variant</w:t>
      </w:r>
      <w:r w:rsidR="00D92BCE" w:rsidRPr="00D2201A">
        <w:rPr>
          <w:rFonts w:ascii="Arial" w:hAnsi="Arial" w:cs="Arial"/>
          <w:color w:val="auto"/>
          <w:sz w:val="20"/>
          <w:szCs w:val="20"/>
        </w:rPr>
        <w:t xml:space="preserve">, with </w:t>
      </w:r>
      <w:r w:rsidRPr="00D2201A">
        <w:rPr>
          <w:rFonts w:ascii="Arial" w:hAnsi="Arial" w:cs="Arial"/>
          <w:color w:val="auto"/>
          <w:sz w:val="20"/>
          <w:szCs w:val="20"/>
        </w:rPr>
        <w:t>power building blocks</w:t>
      </w:r>
      <w:r w:rsidR="00D92BCE" w:rsidRPr="00D2201A">
        <w:rPr>
          <w:rFonts w:ascii="Arial" w:hAnsi="Arial" w:cs="Arial"/>
          <w:color w:val="auto"/>
          <w:sz w:val="20"/>
          <w:szCs w:val="20"/>
        </w:rPr>
        <w:t xml:space="preserve"> selected </w:t>
      </w:r>
      <w:r w:rsidRPr="00D2201A">
        <w:rPr>
          <w:rFonts w:ascii="Arial" w:hAnsi="Arial" w:cs="Arial"/>
          <w:color w:val="auto"/>
          <w:sz w:val="20"/>
          <w:szCs w:val="20"/>
        </w:rPr>
        <w:t>depending on the Xilinx product. In early prototyping, the T</w:t>
      </w:r>
      <w:r w:rsidR="00D92BCE" w:rsidRPr="00D2201A">
        <w:rPr>
          <w:rFonts w:ascii="Arial" w:hAnsi="Arial" w:cs="Arial"/>
          <w:color w:val="auto"/>
          <w:sz w:val="20"/>
          <w:szCs w:val="20"/>
        </w:rPr>
        <w:t xml:space="preserve">exas </w:t>
      </w:r>
      <w:r w:rsidRPr="00D2201A">
        <w:rPr>
          <w:rFonts w:ascii="Arial" w:hAnsi="Arial" w:cs="Arial"/>
          <w:color w:val="auto"/>
          <w:sz w:val="20"/>
          <w:szCs w:val="20"/>
        </w:rPr>
        <w:t>I</w:t>
      </w:r>
      <w:r w:rsidR="00D92BCE" w:rsidRPr="00D2201A">
        <w:rPr>
          <w:rFonts w:ascii="Arial" w:hAnsi="Arial" w:cs="Arial"/>
          <w:color w:val="auto"/>
          <w:sz w:val="20"/>
          <w:szCs w:val="20"/>
        </w:rPr>
        <w:t>nstruments</w:t>
      </w:r>
      <w:r w:rsidRPr="00D2201A">
        <w:rPr>
          <w:rFonts w:ascii="Arial" w:hAnsi="Arial" w:cs="Arial"/>
          <w:color w:val="auto"/>
          <w:sz w:val="20"/>
          <w:szCs w:val="20"/>
        </w:rPr>
        <w:t xml:space="preserve"> reference design</w:t>
      </w:r>
      <w:r w:rsidR="00C92E7C" w:rsidRPr="00D2201A">
        <w:rPr>
          <w:rFonts w:ascii="Arial" w:hAnsi="Arial" w:cs="Arial"/>
          <w:color w:val="auto"/>
          <w:sz w:val="20"/>
          <w:szCs w:val="20"/>
        </w:rPr>
        <w:t>s</w:t>
      </w:r>
      <w:r w:rsidRPr="00D2201A">
        <w:rPr>
          <w:rFonts w:ascii="Arial" w:hAnsi="Arial" w:cs="Arial"/>
          <w:color w:val="auto"/>
          <w:sz w:val="20"/>
          <w:szCs w:val="20"/>
        </w:rPr>
        <w:t xml:space="preserve"> can be used for power-on scenarios. For the final design, the power solution can be implemented as the smallest solution size.</w:t>
      </w:r>
    </w:p>
    <w:p w14:paraId="705C35AE" w14:textId="77777777" w:rsidR="00300143" w:rsidRPr="00D2201A" w:rsidRDefault="00300143" w:rsidP="00281809">
      <w:pPr>
        <w:widowControl w:val="0"/>
        <w:spacing w:line="276" w:lineRule="auto"/>
        <w:rPr>
          <w:rFonts w:ascii="Arial" w:hAnsi="Arial" w:cs="Arial"/>
          <w:color w:val="auto"/>
          <w:sz w:val="20"/>
          <w:szCs w:val="20"/>
        </w:rPr>
      </w:pPr>
    </w:p>
    <w:p w14:paraId="1C84474E" w14:textId="3CD1FCBA" w:rsidR="00981FA2" w:rsidRPr="00D2201A" w:rsidRDefault="004D1FF2" w:rsidP="00281809">
      <w:pPr>
        <w:widowControl w:val="0"/>
        <w:spacing w:line="276" w:lineRule="auto"/>
        <w:rPr>
          <w:rFonts w:ascii="Arial" w:eastAsiaTheme="minorHAnsi" w:hAnsi="Arial" w:cs="Arial"/>
          <w:color w:val="auto"/>
          <w:sz w:val="20"/>
          <w:szCs w:val="20"/>
        </w:rPr>
      </w:pPr>
      <w:r w:rsidRPr="00D2201A">
        <w:rPr>
          <w:rFonts w:ascii="Arial" w:eastAsiaTheme="minorHAnsi" w:hAnsi="Arial" w:cs="Arial"/>
          <w:color w:val="auto"/>
          <w:sz w:val="20"/>
          <w:szCs w:val="20"/>
        </w:rPr>
        <w:t xml:space="preserve">The result is an elegant </w:t>
      </w:r>
      <w:r w:rsidR="009617D1" w:rsidRPr="00D2201A">
        <w:rPr>
          <w:rFonts w:ascii="Arial" w:eastAsiaTheme="minorHAnsi" w:hAnsi="Arial" w:cs="Arial"/>
          <w:color w:val="auto"/>
          <w:sz w:val="20"/>
          <w:szCs w:val="20"/>
        </w:rPr>
        <w:t xml:space="preserve">and </w:t>
      </w:r>
      <w:r w:rsidRPr="00D2201A">
        <w:rPr>
          <w:rFonts w:ascii="Arial" w:eastAsiaTheme="minorHAnsi" w:hAnsi="Arial" w:cs="Arial"/>
          <w:color w:val="auto"/>
          <w:sz w:val="20"/>
          <w:szCs w:val="20"/>
        </w:rPr>
        <w:t xml:space="preserve">scalable solution which enables designers using both </w:t>
      </w:r>
      <w:r w:rsidR="009617D1" w:rsidRPr="00D2201A">
        <w:rPr>
          <w:rFonts w:ascii="Arial" w:eastAsiaTheme="minorHAnsi" w:hAnsi="Arial" w:cs="Arial"/>
          <w:color w:val="auto"/>
          <w:sz w:val="20"/>
          <w:szCs w:val="20"/>
        </w:rPr>
        <w:t xml:space="preserve">the </w:t>
      </w:r>
      <w:r w:rsidRPr="00D2201A">
        <w:rPr>
          <w:rFonts w:ascii="Arial" w:eastAsiaTheme="minorHAnsi" w:hAnsi="Arial" w:cs="Arial"/>
          <w:color w:val="auto"/>
          <w:sz w:val="20"/>
          <w:szCs w:val="20"/>
        </w:rPr>
        <w:t xml:space="preserve">Xilinx Zynq </w:t>
      </w:r>
      <w:proofErr w:type="spellStart"/>
      <w:r w:rsidRPr="00D2201A">
        <w:rPr>
          <w:rFonts w:ascii="Arial" w:eastAsiaTheme="minorHAnsi" w:hAnsi="Arial" w:cs="Arial"/>
          <w:color w:val="auto"/>
          <w:sz w:val="20"/>
          <w:szCs w:val="20"/>
        </w:rPr>
        <w:t>UltraScale</w:t>
      </w:r>
      <w:proofErr w:type="spellEnd"/>
      <w:r w:rsidRPr="00D2201A">
        <w:rPr>
          <w:rFonts w:ascii="Arial" w:eastAsiaTheme="minorHAnsi" w:hAnsi="Arial" w:cs="Arial"/>
          <w:color w:val="auto"/>
          <w:sz w:val="20"/>
          <w:szCs w:val="20"/>
        </w:rPr>
        <w:t xml:space="preserve">+ family and </w:t>
      </w:r>
      <w:r w:rsidR="009617D1" w:rsidRPr="00D2201A">
        <w:rPr>
          <w:rFonts w:ascii="Arial" w:eastAsiaTheme="minorHAnsi" w:hAnsi="Arial" w:cs="Arial"/>
          <w:color w:val="auto"/>
          <w:sz w:val="20"/>
          <w:szCs w:val="20"/>
        </w:rPr>
        <w:t xml:space="preserve">the </w:t>
      </w:r>
      <w:r w:rsidRPr="00D2201A">
        <w:rPr>
          <w:rFonts w:ascii="Arial" w:eastAsiaTheme="minorHAnsi" w:hAnsi="Arial" w:cs="Arial"/>
          <w:color w:val="auto"/>
          <w:sz w:val="20"/>
          <w:szCs w:val="20"/>
        </w:rPr>
        <w:t xml:space="preserve">Xilinx cost-optimised products (Artix-7, Spartan-7, and Zynq-7000) to create a reusable power platform. A typical </w:t>
      </w:r>
      <w:r w:rsidR="00D92BCE" w:rsidRPr="00D2201A">
        <w:rPr>
          <w:rFonts w:ascii="Arial" w:eastAsiaTheme="minorHAnsi" w:hAnsi="Arial" w:cs="Arial"/>
          <w:color w:val="auto"/>
          <w:sz w:val="20"/>
          <w:szCs w:val="20"/>
        </w:rPr>
        <w:t>application example would be</w:t>
      </w:r>
      <w:r w:rsidRPr="00D2201A">
        <w:rPr>
          <w:rFonts w:ascii="Arial" w:eastAsiaTheme="minorHAnsi" w:hAnsi="Arial" w:cs="Arial"/>
          <w:color w:val="auto"/>
          <w:sz w:val="20"/>
          <w:szCs w:val="20"/>
        </w:rPr>
        <w:t xml:space="preserve"> a</w:t>
      </w:r>
      <w:r w:rsidR="00D92BCE" w:rsidRPr="00D2201A">
        <w:rPr>
          <w:rFonts w:ascii="Arial" w:eastAsiaTheme="minorHAnsi" w:hAnsi="Arial" w:cs="Arial"/>
          <w:color w:val="auto"/>
          <w:sz w:val="20"/>
          <w:szCs w:val="20"/>
        </w:rPr>
        <w:t xml:space="preserve"> power solution for</w:t>
      </w:r>
      <w:r w:rsidRPr="00D2201A">
        <w:rPr>
          <w:rFonts w:ascii="Arial" w:eastAsiaTheme="minorHAnsi" w:hAnsi="Arial" w:cs="Arial"/>
          <w:color w:val="auto"/>
          <w:sz w:val="20"/>
          <w:szCs w:val="20"/>
        </w:rPr>
        <w:t xml:space="preserve"> customer</w:t>
      </w:r>
      <w:r w:rsidR="00A216C0" w:rsidRPr="00D2201A">
        <w:rPr>
          <w:rFonts w:ascii="Arial" w:eastAsiaTheme="minorHAnsi" w:hAnsi="Arial" w:cs="Arial"/>
          <w:color w:val="auto"/>
          <w:sz w:val="20"/>
          <w:szCs w:val="20"/>
        </w:rPr>
        <w:t>s</w:t>
      </w:r>
      <w:r w:rsidRPr="00D2201A">
        <w:rPr>
          <w:rFonts w:ascii="Arial" w:eastAsiaTheme="minorHAnsi" w:hAnsi="Arial" w:cs="Arial"/>
          <w:color w:val="auto"/>
          <w:sz w:val="20"/>
          <w:szCs w:val="20"/>
        </w:rPr>
        <w:t xml:space="preserve"> designing an industrial robot us</w:t>
      </w:r>
      <w:r w:rsidR="00D92BCE" w:rsidRPr="00D2201A">
        <w:rPr>
          <w:rFonts w:ascii="Arial" w:eastAsiaTheme="minorHAnsi" w:hAnsi="Arial" w:cs="Arial"/>
          <w:color w:val="auto"/>
          <w:sz w:val="20"/>
          <w:szCs w:val="20"/>
        </w:rPr>
        <w:t>ing</w:t>
      </w:r>
      <w:r w:rsidRPr="00D2201A">
        <w:rPr>
          <w:rFonts w:ascii="Arial" w:eastAsiaTheme="minorHAnsi" w:hAnsi="Arial" w:cs="Arial"/>
          <w:color w:val="auto"/>
          <w:sz w:val="20"/>
          <w:szCs w:val="20"/>
        </w:rPr>
        <w:t xml:space="preserve"> a ZU+ as the central computer and multiple Spartan-7s for motor control of the ax</w:t>
      </w:r>
      <w:r w:rsidR="009617D1" w:rsidRPr="00D2201A">
        <w:rPr>
          <w:rFonts w:ascii="Arial" w:eastAsiaTheme="minorHAnsi" w:hAnsi="Arial" w:cs="Arial"/>
          <w:color w:val="auto"/>
          <w:sz w:val="20"/>
          <w:szCs w:val="20"/>
        </w:rPr>
        <w:t>i</w:t>
      </w:r>
      <w:r w:rsidRPr="00D2201A">
        <w:rPr>
          <w:rFonts w:ascii="Arial" w:eastAsiaTheme="minorHAnsi" w:hAnsi="Arial" w:cs="Arial"/>
          <w:color w:val="auto"/>
          <w:sz w:val="20"/>
          <w:szCs w:val="20"/>
        </w:rPr>
        <w:t>s. This solution powers both chipsets.</w:t>
      </w:r>
    </w:p>
    <w:p w14:paraId="19B02ED0" w14:textId="77777777" w:rsidR="00300143" w:rsidRPr="00D2201A" w:rsidRDefault="00300143" w:rsidP="00281809">
      <w:pPr>
        <w:widowControl w:val="0"/>
        <w:spacing w:line="276" w:lineRule="auto"/>
        <w:rPr>
          <w:rFonts w:ascii="Arial" w:eastAsiaTheme="minorHAnsi" w:hAnsi="Arial" w:cs="Arial"/>
          <w:color w:val="auto"/>
          <w:sz w:val="20"/>
          <w:szCs w:val="20"/>
        </w:rPr>
      </w:pPr>
    </w:p>
    <w:p w14:paraId="1700B33D" w14:textId="67BF0D16" w:rsidR="00300143" w:rsidRPr="00D2201A" w:rsidRDefault="00300143" w:rsidP="00281809">
      <w:pPr>
        <w:widowControl w:val="0"/>
        <w:spacing w:line="276" w:lineRule="auto"/>
        <w:rPr>
          <w:rFonts w:ascii="Arial" w:hAnsi="Arial" w:cs="Arial"/>
          <w:color w:val="auto"/>
          <w:sz w:val="20"/>
          <w:szCs w:val="20"/>
        </w:rPr>
      </w:pPr>
      <w:r w:rsidRPr="00D2201A">
        <w:rPr>
          <w:rFonts w:ascii="Arial" w:hAnsi="Arial" w:cs="Arial"/>
          <w:b/>
          <w:color w:val="auto"/>
          <w:sz w:val="20"/>
          <w:szCs w:val="20"/>
        </w:rPr>
        <w:t xml:space="preserve">Simon Meadmore, Global Head of semiconductors and SBC at Premier Farnell and </w:t>
      </w:r>
      <w:r w:rsidRPr="00D2201A">
        <w:rPr>
          <w:rFonts w:ascii="Arial" w:hAnsi="Arial" w:cs="Arial"/>
          <w:b/>
          <w:color w:val="auto"/>
          <w:sz w:val="20"/>
          <w:szCs w:val="20"/>
          <w:highlight w:val="yellow"/>
        </w:rPr>
        <w:t>Farnell element14</w:t>
      </w:r>
      <w:r w:rsidRPr="00D2201A">
        <w:rPr>
          <w:rFonts w:ascii="Arial" w:hAnsi="Arial" w:cs="Arial"/>
          <w:b/>
          <w:color w:val="auto"/>
          <w:sz w:val="20"/>
          <w:szCs w:val="20"/>
        </w:rPr>
        <w:t xml:space="preserve"> said;</w:t>
      </w:r>
      <w:r w:rsidRPr="00D2201A">
        <w:rPr>
          <w:rFonts w:ascii="Arial" w:hAnsi="Arial" w:cs="Arial"/>
          <w:color w:val="auto"/>
          <w:sz w:val="20"/>
          <w:szCs w:val="20"/>
        </w:rPr>
        <w:t xml:space="preserve"> “As the Development Distributor, </w:t>
      </w:r>
      <w:r w:rsidRPr="00D2201A">
        <w:rPr>
          <w:rFonts w:ascii="Arial" w:hAnsi="Arial" w:cs="Arial"/>
          <w:color w:val="auto"/>
          <w:sz w:val="20"/>
          <w:szCs w:val="20"/>
          <w:highlight w:val="yellow"/>
        </w:rPr>
        <w:t>Farnell element14</w:t>
      </w:r>
      <w:r w:rsidRPr="00D2201A">
        <w:rPr>
          <w:rFonts w:ascii="Arial" w:hAnsi="Arial" w:cs="Arial"/>
          <w:color w:val="auto"/>
          <w:sz w:val="20"/>
          <w:szCs w:val="20"/>
        </w:rPr>
        <w:t xml:space="preserve"> seek to provide customers with ways to speed up their design processes, saving time and money as they get their products to market.  Th</w:t>
      </w:r>
      <w:r w:rsidR="00C92E7C" w:rsidRPr="00D2201A">
        <w:rPr>
          <w:rFonts w:ascii="Arial" w:hAnsi="Arial" w:cs="Arial"/>
          <w:color w:val="auto"/>
          <w:sz w:val="20"/>
          <w:szCs w:val="20"/>
        </w:rPr>
        <w:t>ese</w:t>
      </w:r>
      <w:r w:rsidRPr="00D2201A">
        <w:rPr>
          <w:rFonts w:ascii="Arial" w:hAnsi="Arial" w:cs="Arial"/>
          <w:color w:val="auto"/>
          <w:sz w:val="20"/>
          <w:szCs w:val="20"/>
        </w:rPr>
        <w:t xml:space="preserve"> new reference design</w:t>
      </w:r>
      <w:r w:rsidR="00C92E7C" w:rsidRPr="00D2201A">
        <w:rPr>
          <w:rFonts w:ascii="Arial" w:hAnsi="Arial" w:cs="Arial"/>
          <w:color w:val="auto"/>
          <w:sz w:val="20"/>
          <w:szCs w:val="20"/>
        </w:rPr>
        <w:t>s</w:t>
      </w:r>
      <w:r w:rsidRPr="00D2201A">
        <w:rPr>
          <w:rFonts w:ascii="Arial" w:hAnsi="Arial" w:cs="Arial"/>
          <w:color w:val="auto"/>
          <w:sz w:val="20"/>
          <w:szCs w:val="20"/>
        </w:rPr>
        <w:t xml:space="preserve"> from Texas Instruments give customers </w:t>
      </w:r>
      <w:r w:rsidR="008B1978" w:rsidRPr="00D2201A">
        <w:rPr>
          <w:rFonts w:ascii="Arial" w:hAnsi="Arial" w:cs="Arial"/>
          <w:color w:val="auto"/>
          <w:sz w:val="20"/>
          <w:szCs w:val="20"/>
        </w:rPr>
        <w:t>a</w:t>
      </w:r>
      <w:r w:rsidRPr="00D2201A">
        <w:rPr>
          <w:rFonts w:ascii="Arial" w:hAnsi="Arial" w:cs="Arial"/>
          <w:color w:val="auto"/>
          <w:sz w:val="20"/>
          <w:szCs w:val="20"/>
        </w:rPr>
        <w:t xml:space="preserve"> way to prototype their designs even before they understand their full </w:t>
      </w:r>
      <w:r w:rsidR="00C92E7C" w:rsidRPr="00D2201A">
        <w:rPr>
          <w:rFonts w:ascii="Arial" w:hAnsi="Arial" w:cs="Arial"/>
          <w:color w:val="auto"/>
          <w:sz w:val="20"/>
          <w:szCs w:val="20"/>
        </w:rPr>
        <w:t>power</w:t>
      </w:r>
      <w:r w:rsidRPr="00D2201A">
        <w:rPr>
          <w:rFonts w:ascii="Arial" w:hAnsi="Arial" w:cs="Arial"/>
          <w:color w:val="auto"/>
          <w:sz w:val="20"/>
          <w:szCs w:val="20"/>
        </w:rPr>
        <w:t xml:space="preserve"> needs – and can be tailored to work across all Xilinx solutions from the Xilinx Zynq </w:t>
      </w:r>
      <w:proofErr w:type="spellStart"/>
      <w:r w:rsidRPr="00D2201A">
        <w:rPr>
          <w:rFonts w:ascii="Arial" w:hAnsi="Arial" w:cs="Arial"/>
          <w:color w:val="auto"/>
          <w:sz w:val="20"/>
          <w:szCs w:val="20"/>
        </w:rPr>
        <w:t>UltraScale</w:t>
      </w:r>
      <w:proofErr w:type="spellEnd"/>
      <w:r w:rsidRPr="00D2201A">
        <w:rPr>
          <w:rFonts w:ascii="Arial" w:hAnsi="Arial" w:cs="Arial"/>
          <w:color w:val="auto"/>
          <w:sz w:val="20"/>
          <w:szCs w:val="20"/>
        </w:rPr>
        <w:t>+ family to</w:t>
      </w:r>
      <w:r w:rsidR="009617D1" w:rsidRPr="00D2201A">
        <w:rPr>
          <w:rFonts w:ascii="Arial" w:hAnsi="Arial" w:cs="Arial"/>
          <w:color w:val="auto"/>
          <w:sz w:val="20"/>
          <w:szCs w:val="20"/>
        </w:rPr>
        <w:t xml:space="preserve"> </w:t>
      </w:r>
      <w:r w:rsidRPr="00D2201A">
        <w:rPr>
          <w:rFonts w:ascii="Arial" w:hAnsi="Arial" w:cs="Arial"/>
          <w:color w:val="auto"/>
          <w:sz w:val="20"/>
          <w:szCs w:val="20"/>
        </w:rPr>
        <w:t>X</w:t>
      </w:r>
      <w:r w:rsidR="000B72F9" w:rsidRPr="00D2201A">
        <w:rPr>
          <w:rFonts w:ascii="Arial" w:hAnsi="Arial" w:cs="Arial"/>
          <w:color w:val="auto"/>
          <w:sz w:val="20"/>
          <w:szCs w:val="20"/>
        </w:rPr>
        <w:t>i</w:t>
      </w:r>
      <w:r w:rsidRPr="00D2201A">
        <w:rPr>
          <w:rFonts w:ascii="Arial" w:hAnsi="Arial" w:cs="Arial"/>
          <w:color w:val="auto"/>
          <w:sz w:val="20"/>
          <w:szCs w:val="20"/>
        </w:rPr>
        <w:t xml:space="preserve">linx’s cost-optimised portfolio.  We </w:t>
      </w:r>
      <w:proofErr w:type="gramStart"/>
      <w:r w:rsidRPr="00D2201A">
        <w:rPr>
          <w:rFonts w:ascii="Arial" w:hAnsi="Arial" w:cs="Arial"/>
          <w:color w:val="auto"/>
          <w:sz w:val="20"/>
          <w:szCs w:val="20"/>
        </w:rPr>
        <w:t>are able to</w:t>
      </w:r>
      <w:proofErr w:type="gramEnd"/>
      <w:r w:rsidRPr="00D2201A">
        <w:rPr>
          <w:rFonts w:ascii="Arial" w:hAnsi="Arial" w:cs="Arial"/>
          <w:color w:val="auto"/>
          <w:sz w:val="20"/>
          <w:szCs w:val="20"/>
        </w:rPr>
        <w:t xml:space="preserve"> bring th</w:t>
      </w:r>
      <w:r w:rsidR="00C92E7C" w:rsidRPr="00D2201A">
        <w:rPr>
          <w:rFonts w:ascii="Arial" w:hAnsi="Arial" w:cs="Arial"/>
          <w:color w:val="auto"/>
          <w:sz w:val="20"/>
          <w:szCs w:val="20"/>
        </w:rPr>
        <w:t>e</w:t>
      </w:r>
      <w:r w:rsidRPr="00D2201A">
        <w:rPr>
          <w:rFonts w:ascii="Arial" w:hAnsi="Arial" w:cs="Arial"/>
          <w:color w:val="auto"/>
          <w:sz w:val="20"/>
          <w:szCs w:val="20"/>
        </w:rPr>
        <w:t>s</w:t>
      </w:r>
      <w:r w:rsidR="00C92E7C" w:rsidRPr="00D2201A">
        <w:rPr>
          <w:rFonts w:ascii="Arial" w:hAnsi="Arial" w:cs="Arial"/>
          <w:color w:val="auto"/>
          <w:sz w:val="20"/>
          <w:szCs w:val="20"/>
        </w:rPr>
        <w:t>e</w:t>
      </w:r>
      <w:r w:rsidRPr="00D2201A">
        <w:rPr>
          <w:rFonts w:ascii="Arial" w:hAnsi="Arial" w:cs="Arial"/>
          <w:color w:val="auto"/>
          <w:sz w:val="20"/>
          <w:szCs w:val="20"/>
        </w:rPr>
        <w:t xml:space="preserve"> to our customers due to the strong relationships we have </w:t>
      </w:r>
      <w:r w:rsidR="008B1978" w:rsidRPr="00D2201A">
        <w:rPr>
          <w:rFonts w:ascii="Arial" w:hAnsi="Arial" w:cs="Arial"/>
          <w:color w:val="auto"/>
          <w:sz w:val="20"/>
          <w:szCs w:val="20"/>
        </w:rPr>
        <w:t xml:space="preserve">built </w:t>
      </w:r>
      <w:r w:rsidRPr="00D2201A">
        <w:rPr>
          <w:rFonts w:ascii="Arial" w:hAnsi="Arial" w:cs="Arial"/>
          <w:color w:val="auto"/>
          <w:sz w:val="20"/>
          <w:szCs w:val="20"/>
        </w:rPr>
        <w:t>with the world’s leading manufacturers and suppliers – bringing together the best solutions available to deliver real benefits for our customers”.</w:t>
      </w:r>
    </w:p>
    <w:p w14:paraId="70269B0B" w14:textId="77777777" w:rsidR="00C92E7C" w:rsidRPr="00D2201A" w:rsidRDefault="00C92E7C" w:rsidP="00281809">
      <w:pPr>
        <w:widowControl w:val="0"/>
        <w:spacing w:line="276" w:lineRule="auto"/>
        <w:rPr>
          <w:rFonts w:ascii="Arial" w:hAnsi="Arial" w:cs="Arial"/>
          <w:color w:val="auto"/>
          <w:sz w:val="20"/>
          <w:szCs w:val="20"/>
        </w:rPr>
      </w:pPr>
    </w:p>
    <w:p w14:paraId="181EF81D" w14:textId="109B7EC7" w:rsidR="007E2278" w:rsidRPr="00D2201A" w:rsidRDefault="00C92E7C" w:rsidP="007E2278">
      <w:pPr>
        <w:widowControl w:val="0"/>
        <w:spacing w:line="276" w:lineRule="auto"/>
        <w:rPr>
          <w:rFonts w:ascii="Arial" w:hAnsi="Arial" w:cs="Arial"/>
          <w:color w:val="auto"/>
          <w:sz w:val="20"/>
          <w:szCs w:val="20"/>
        </w:rPr>
      </w:pPr>
      <w:r w:rsidRPr="00D2201A">
        <w:rPr>
          <w:rFonts w:ascii="Arial" w:hAnsi="Arial" w:cs="Arial"/>
          <w:color w:val="auto"/>
          <w:sz w:val="20"/>
          <w:szCs w:val="20"/>
        </w:rPr>
        <w:t xml:space="preserve">To find out more about the PMIC reference designs from Texas Instruments, visit </w:t>
      </w:r>
      <w:hyperlink r:id="rId11" w:history="1">
        <w:r w:rsidR="00792A25" w:rsidRPr="00D2201A">
          <w:rPr>
            <w:rStyle w:val="Hyperlink"/>
            <w:rFonts w:ascii="Arial" w:hAnsi="Arial" w:cs="Arial"/>
            <w:sz w:val="20"/>
            <w:szCs w:val="20"/>
            <w:highlight w:val="yellow"/>
          </w:rPr>
          <w:t>uk.farnell.com/</w:t>
        </w:r>
        <w:proofErr w:type="spellStart"/>
        <w:r w:rsidR="00792A25" w:rsidRPr="00D2201A">
          <w:rPr>
            <w:rStyle w:val="Hyperlink"/>
            <w:rFonts w:ascii="Arial" w:hAnsi="Arial" w:cs="Arial"/>
            <w:sz w:val="20"/>
            <w:szCs w:val="20"/>
            <w:highlight w:val="yellow"/>
          </w:rPr>
          <w:t>fpga</w:t>
        </w:r>
        <w:proofErr w:type="spellEnd"/>
        <w:r w:rsidR="00792A25" w:rsidRPr="00D2201A">
          <w:rPr>
            <w:rStyle w:val="Hyperlink"/>
            <w:rFonts w:ascii="Arial" w:hAnsi="Arial" w:cs="Arial"/>
            <w:sz w:val="20"/>
            <w:szCs w:val="20"/>
            <w:highlight w:val="yellow"/>
          </w:rPr>
          <w:t>-power</w:t>
        </w:r>
      </w:hyperlink>
      <w:r w:rsidRPr="00D2201A">
        <w:rPr>
          <w:rFonts w:ascii="Arial" w:hAnsi="Arial" w:cs="Arial"/>
          <w:color w:val="auto"/>
          <w:sz w:val="20"/>
          <w:szCs w:val="20"/>
        </w:rPr>
        <w:t>.  To browse more TI power solutions for Xilinx</w:t>
      </w:r>
      <w:r w:rsidR="00792A25" w:rsidRPr="00D2201A">
        <w:rPr>
          <w:rFonts w:ascii="Arial" w:hAnsi="Arial" w:cs="Arial"/>
          <w:color w:val="auto"/>
          <w:sz w:val="20"/>
          <w:szCs w:val="20"/>
        </w:rPr>
        <w:t xml:space="preserve"> FPGAs, visit ti.com/</w:t>
      </w:r>
      <w:proofErr w:type="spellStart"/>
      <w:r w:rsidR="00792A25" w:rsidRPr="00D2201A">
        <w:rPr>
          <w:rFonts w:ascii="Arial" w:hAnsi="Arial" w:cs="Arial"/>
          <w:color w:val="auto"/>
          <w:sz w:val="20"/>
          <w:szCs w:val="20"/>
        </w:rPr>
        <w:t>powerfpga</w:t>
      </w:r>
      <w:proofErr w:type="spellEnd"/>
      <w:r w:rsidR="00792A25" w:rsidRPr="00D2201A">
        <w:rPr>
          <w:rFonts w:ascii="Arial" w:hAnsi="Arial" w:cs="Arial"/>
          <w:color w:val="auto"/>
          <w:sz w:val="20"/>
          <w:szCs w:val="20"/>
        </w:rPr>
        <w:t xml:space="preserve">. </w:t>
      </w:r>
    </w:p>
    <w:p w14:paraId="66209A8E" w14:textId="7B4876AD" w:rsidR="00981FA2" w:rsidRPr="00D2201A" w:rsidRDefault="00D2201A" w:rsidP="00D2201A">
      <w:pPr>
        <w:widowControl w:val="0"/>
        <w:jc w:val="center"/>
        <w:rPr>
          <w:rFonts w:ascii="Arial" w:hAnsi="Arial" w:cs="Arial"/>
          <w:color w:val="auto"/>
          <w:sz w:val="20"/>
          <w:szCs w:val="20"/>
        </w:rPr>
      </w:pPr>
      <w:r w:rsidRPr="00D2201A">
        <w:rPr>
          <w:rFonts w:ascii="Arial" w:hAnsi="Arial" w:cs="Arial"/>
          <w:b/>
          <w:color w:val="auto"/>
          <w:sz w:val="20"/>
          <w:szCs w:val="20"/>
        </w:rPr>
        <w:lastRenderedPageBreak/>
        <w:t>*</w:t>
      </w:r>
      <w:r w:rsidR="00981FA2" w:rsidRPr="00D2201A">
        <w:rPr>
          <w:rFonts w:ascii="Arial" w:hAnsi="Arial" w:cs="Arial"/>
          <w:b/>
          <w:color w:val="auto"/>
          <w:sz w:val="20"/>
          <w:szCs w:val="20"/>
        </w:rPr>
        <w:t>*Ends**</w:t>
      </w:r>
    </w:p>
    <w:p w14:paraId="0BD63479" w14:textId="77777777" w:rsidR="00981FA2" w:rsidRPr="00D2201A" w:rsidRDefault="00981FA2" w:rsidP="00D2201A">
      <w:pPr>
        <w:rPr>
          <w:rFonts w:ascii="Arial" w:hAnsi="Arial" w:cs="Arial"/>
          <w:color w:val="auto"/>
          <w:sz w:val="20"/>
          <w:szCs w:val="20"/>
        </w:rPr>
      </w:pPr>
    </w:p>
    <w:p w14:paraId="33A7B53D" w14:textId="77777777" w:rsidR="00981FA2" w:rsidRPr="00D2201A" w:rsidRDefault="00981FA2" w:rsidP="00D2201A">
      <w:pPr>
        <w:rPr>
          <w:rFonts w:ascii="Arial" w:hAnsi="Arial" w:cs="Arial"/>
          <w:b/>
          <w:color w:val="auto"/>
          <w:sz w:val="20"/>
          <w:szCs w:val="20"/>
          <w:u w:val="single"/>
        </w:rPr>
      </w:pPr>
      <w:r w:rsidRPr="00D2201A">
        <w:rPr>
          <w:rFonts w:ascii="Arial" w:hAnsi="Arial" w:cs="Arial"/>
          <w:b/>
          <w:color w:val="auto"/>
          <w:sz w:val="20"/>
          <w:szCs w:val="20"/>
          <w:u w:val="single"/>
        </w:rPr>
        <w:t>Notes to editors</w:t>
      </w:r>
    </w:p>
    <w:p w14:paraId="43E0B03D" w14:textId="77777777" w:rsidR="00981FA2" w:rsidRPr="00D2201A" w:rsidRDefault="00981FA2" w:rsidP="00D2201A">
      <w:pPr>
        <w:rPr>
          <w:rFonts w:ascii="Arial" w:hAnsi="Arial" w:cs="Arial"/>
          <w:color w:val="auto"/>
          <w:sz w:val="20"/>
          <w:szCs w:val="20"/>
        </w:rPr>
      </w:pPr>
    </w:p>
    <w:p w14:paraId="1DD5EE27" w14:textId="77777777" w:rsidR="00981FA2" w:rsidRPr="00D2201A" w:rsidRDefault="00981FA2" w:rsidP="00D2201A">
      <w:pPr>
        <w:rPr>
          <w:rFonts w:ascii="Arial" w:hAnsi="Arial" w:cs="Arial"/>
          <w:sz w:val="20"/>
          <w:szCs w:val="20"/>
        </w:rPr>
      </w:pPr>
      <w:r w:rsidRPr="00D2201A">
        <w:rPr>
          <w:rFonts w:ascii="Arial" w:hAnsi="Arial" w:cs="Arial"/>
          <w:sz w:val="20"/>
          <w:szCs w:val="20"/>
        </w:rPr>
        <w:t xml:space="preserve">You can find more details and supporting imagery related to this press release on our newsroom: </w:t>
      </w:r>
      <w:hyperlink r:id="rId12" w:history="1">
        <w:r w:rsidRPr="00D2201A">
          <w:rPr>
            <w:rFonts w:ascii="Arial" w:hAnsi="Arial" w:cs="Arial"/>
            <w:color w:val="0563C1" w:themeColor="hyperlink"/>
            <w:sz w:val="20"/>
            <w:szCs w:val="20"/>
            <w:u w:val="single"/>
          </w:rPr>
          <w:t>www.element14.com/news</w:t>
        </w:r>
      </w:hyperlink>
    </w:p>
    <w:p w14:paraId="331E076A" w14:textId="77777777" w:rsidR="008B5CAF" w:rsidRPr="00D2201A" w:rsidRDefault="008B5CAF" w:rsidP="00D2201A">
      <w:pPr>
        <w:widowControl w:val="0"/>
        <w:autoSpaceDE w:val="0"/>
        <w:autoSpaceDN w:val="0"/>
        <w:adjustRightInd w:val="0"/>
        <w:rPr>
          <w:rFonts w:ascii="Arial" w:eastAsia="Calibri" w:hAnsi="Arial" w:cs="Arial"/>
          <w:sz w:val="20"/>
          <w:szCs w:val="20"/>
        </w:rPr>
      </w:pPr>
    </w:p>
    <w:p w14:paraId="220F3EA8" w14:textId="77777777" w:rsidR="00584A6A" w:rsidRPr="00D2201A" w:rsidRDefault="00584A6A" w:rsidP="00D2201A">
      <w:pPr>
        <w:ind w:right="-1"/>
        <w:rPr>
          <w:rFonts w:ascii="Arial" w:hAnsi="Arial" w:cs="Arial"/>
          <w:b/>
          <w:bCs/>
          <w:sz w:val="20"/>
          <w:szCs w:val="20"/>
          <w:u w:val="single"/>
        </w:rPr>
      </w:pPr>
    </w:p>
    <w:p w14:paraId="3DE38202" w14:textId="77777777" w:rsidR="00584A6A" w:rsidRPr="00D2201A" w:rsidRDefault="00584A6A" w:rsidP="00D2201A">
      <w:pPr>
        <w:ind w:right="-1"/>
        <w:rPr>
          <w:rFonts w:ascii="Arial" w:hAnsi="Arial" w:cs="Arial"/>
          <w:b/>
          <w:bCs/>
          <w:sz w:val="20"/>
          <w:szCs w:val="20"/>
        </w:rPr>
      </w:pPr>
      <w:r w:rsidRPr="00D2201A">
        <w:rPr>
          <w:rFonts w:ascii="Arial" w:hAnsi="Arial" w:cs="Arial"/>
          <w:b/>
          <w:bCs/>
          <w:sz w:val="20"/>
          <w:szCs w:val="20"/>
        </w:rPr>
        <w:t>About us</w:t>
      </w:r>
    </w:p>
    <w:p w14:paraId="5BFF4B6F" w14:textId="77777777" w:rsidR="00584A6A" w:rsidRPr="00D2201A" w:rsidRDefault="00584A6A" w:rsidP="00D2201A">
      <w:pPr>
        <w:ind w:right="-1"/>
        <w:rPr>
          <w:rFonts w:ascii="Arial" w:hAnsi="Arial" w:cs="Arial"/>
          <w:b/>
          <w:bCs/>
          <w:sz w:val="20"/>
          <w:szCs w:val="20"/>
          <w:u w:val="single"/>
        </w:rPr>
      </w:pPr>
    </w:p>
    <w:p w14:paraId="6BFDD0D1" w14:textId="77777777" w:rsidR="00584A6A" w:rsidRPr="00D2201A" w:rsidRDefault="00F54CFC" w:rsidP="00D2201A">
      <w:pPr>
        <w:ind w:right="-1"/>
        <w:rPr>
          <w:rFonts w:ascii="Arial" w:hAnsi="Arial" w:cs="Arial"/>
          <w:sz w:val="20"/>
          <w:szCs w:val="20"/>
        </w:rPr>
      </w:pPr>
      <w:hyperlink r:id="rId13" w:history="1">
        <w:r w:rsidR="00584A6A" w:rsidRPr="00D2201A">
          <w:rPr>
            <w:rStyle w:val="Hyperlink"/>
            <w:rFonts w:ascii="Arial" w:hAnsi="Arial" w:cs="Arial"/>
            <w:sz w:val="20"/>
            <w:szCs w:val="20"/>
          </w:rPr>
          <w:t>Farnell element14</w:t>
        </w:r>
      </w:hyperlink>
      <w:r w:rsidR="00584A6A" w:rsidRPr="00D2201A">
        <w:rPr>
          <w:rFonts w:ascii="Arial" w:hAnsi="Arial" w:cs="Arial"/>
          <w:sz w:val="20"/>
          <w:szCs w:val="20"/>
        </w:rPr>
        <w:t xml:space="preserve"> </w:t>
      </w:r>
      <w:r w:rsidR="00BB1655" w:rsidRPr="00D2201A">
        <w:rPr>
          <w:rFonts w:ascii="Arial" w:hAnsi="Arial" w:cs="Arial"/>
          <w:sz w:val="20"/>
          <w:szCs w:val="20"/>
        </w:rPr>
        <w:t xml:space="preserve">and </w:t>
      </w:r>
      <w:hyperlink r:id="rId14" w:history="1">
        <w:r w:rsidR="00BB1655" w:rsidRPr="00D2201A">
          <w:rPr>
            <w:rStyle w:val="Hyperlink"/>
            <w:rFonts w:ascii="Arial" w:hAnsi="Arial" w:cs="Arial"/>
            <w:sz w:val="20"/>
            <w:szCs w:val="20"/>
          </w:rPr>
          <w:t>forthings.io</w:t>
        </w:r>
      </w:hyperlink>
      <w:r w:rsidR="00BB1655" w:rsidRPr="00D2201A">
        <w:rPr>
          <w:rFonts w:ascii="Arial" w:hAnsi="Arial" w:cs="Arial"/>
          <w:sz w:val="20"/>
          <w:szCs w:val="20"/>
        </w:rPr>
        <w:t xml:space="preserve"> are </w:t>
      </w:r>
      <w:r w:rsidR="00584A6A" w:rsidRPr="00D2201A">
        <w:rPr>
          <w:rFonts w:ascii="Arial" w:hAnsi="Arial" w:cs="Arial"/>
          <w:sz w:val="20"/>
          <w:szCs w:val="20"/>
        </w:rPr>
        <w:t xml:space="preserve">part of the </w:t>
      </w:r>
      <w:hyperlink r:id="rId15" w:history="1">
        <w:r w:rsidR="00584A6A" w:rsidRPr="00D2201A">
          <w:rPr>
            <w:rStyle w:val="Hyperlink"/>
            <w:rFonts w:ascii="Arial" w:hAnsi="Arial" w:cs="Arial"/>
            <w:sz w:val="20"/>
            <w:szCs w:val="20"/>
          </w:rPr>
          <w:t xml:space="preserve">Premier Farnell </w:t>
        </w:r>
      </w:hyperlink>
      <w:r w:rsidR="00584A6A" w:rsidRPr="00D2201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0340C68F" w14:textId="77777777" w:rsidR="00584A6A" w:rsidRPr="00D2201A" w:rsidRDefault="00584A6A" w:rsidP="00D2201A">
      <w:pPr>
        <w:ind w:right="-1"/>
        <w:rPr>
          <w:rFonts w:ascii="Arial" w:hAnsi="Arial" w:cs="Arial"/>
          <w:sz w:val="20"/>
          <w:szCs w:val="20"/>
        </w:rPr>
      </w:pPr>
    </w:p>
    <w:p w14:paraId="670E0D53" w14:textId="77777777" w:rsidR="005D082A" w:rsidRPr="00D2201A" w:rsidRDefault="00584A6A" w:rsidP="00D2201A">
      <w:pPr>
        <w:ind w:right="-1"/>
        <w:rPr>
          <w:rFonts w:ascii="Arial" w:hAnsi="Arial" w:cs="Arial"/>
          <w:sz w:val="20"/>
          <w:szCs w:val="20"/>
        </w:rPr>
      </w:pPr>
      <w:r w:rsidRPr="00D2201A">
        <w:rPr>
          <w:rFonts w:ascii="Arial" w:hAnsi="Arial" w:cs="Arial"/>
          <w:sz w:val="20"/>
          <w:szCs w:val="20"/>
        </w:rPr>
        <w:t xml:space="preserve">Premier Farnell </w:t>
      </w:r>
      <w:r w:rsidRPr="00D2201A">
        <w:rPr>
          <w:rFonts w:ascii="Arial" w:hAnsi="Arial" w:cs="Arial"/>
          <w:sz w:val="20"/>
          <w:szCs w:val="20"/>
          <w:shd w:val="clear" w:color="auto" w:fill="FFFFFF"/>
        </w:rPr>
        <w:t>is a business unit Avnet, Inc., (</w:t>
      </w:r>
      <w:proofErr w:type="gramStart"/>
      <w:r w:rsidRPr="00D2201A">
        <w:rPr>
          <w:rFonts w:ascii="Arial" w:hAnsi="Arial" w:cs="Arial"/>
          <w:sz w:val="20"/>
          <w:szCs w:val="20"/>
          <w:shd w:val="clear" w:color="auto" w:fill="FFFFFF"/>
        </w:rPr>
        <w:t>NYSE:AVT</w:t>
      </w:r>
      <w:proofErr w:type="gramEnd"/>
      <w:r w:rsidRPr="00D2201A">
        <w:rPr>
          <w:rFonts w:ascii="Arial" w:hAnsi="Arial" w:cs="Arial"/>
          <w:sz w:val="20"/>
          <w:szCs w:val="20"/>
          <w:shd w:val="clear" w:color="auto" w:fill="FFFFFF"/>
        </w:rPr>
        <w:t xml:space="preserve">). Premier Farnell </w:t>
      </w:r>
      <w:r w:rsidRPr="00D2201A">
        <w:rPr>
          <w:rFonts w:ascii="Arial" w:hAnsi="Arial" w:cs="Arial"/>
          <w:sz w:val="20"/>
          <w:szCs w:val="20"/>
        </w:rPr>
        <w:t>trades as </w:t>
      </w:r>
      <w:hyperlink r:id="rId16" w:history="1">
        <w:r w:rsidRPr="00D2201A">
          <w:rPr>
            <w:rStyle w:val="Hyperlink"/>
            <w:rFonts w:ascii="Arial" w:hAnsi="Arial" w:cs="Arial"/>
            <w:sz w:val="20"/>
            <w:szCs w:val="20"/>
          </w:rPr>
          <w:t>Farnell element14</w:t>
        </w:r>
      </w:hyperlink>
      <w:r w:rsidRPr="00D2201A">
        <w:rPr>
          <w:rFonts w:ascii="Arial" w:hAnsi="Arial" w:cs="Arial"/>
          <w:sz w:val="20"/>
          <w:szCs w:val="20"/>
        </w:rPr>
        <w:t> in Europe, </w:t>
      </w:r>
      <w:hyperlink r:id="rId17" w:history="1">
        <w:r w:rsidRPr="00D2201A">
          <w:rPr>
            <w:rStyle w:val="Hyperlink"/>
            <w:rFonts w:ascii="Arial" w:hAnsi="Arial" w:cs="Arial"/>
            <w:sz w:val="20"/>
            <w:szCs w:val="20"/>
          </w:rPr>
          <w:t>Newark element14</w:t>
        </w:r>
      </w:hyperlink>
      <w:r w:rsidRPr="00D2201A">
        <w:rPr>
          <w:rFonts w:ascii="Arial" w:hAnsi="Arial" w:cs="Arial"/>
          <w:sz w:val="20"/>
          <w:szCs w:val="20"/>
        </w:rPr>
        <w:t xml:space="preserve"> in North America, and </w:t>
      </w:r>
      <w:hyperlink r:id="rId18" w:history="1">
        <w:r w:rsidRPr="00D2201A">
          <w:rPr>
            <w:rStyle w:val="Hyperlink"/>
            <w:rFonts w:ascii="Arial" w:hAnsi="Arial" w:cs="Arial"/>
            <w:sz w:val="20"/>
            <w:szCs w:val="20"/>
          </w:rPr>
          <w:t>element14</w:t>
        </w:r>
      </w:hyperlink>
      <w:r w:rsidRPr="00D2201A">
        <w:rPr>
          <w:rFonts w:ascii="Arial" w:hAnsi="Arial" w:cs="Arial"/>
          <w:sz w:val="20"/>
          <w:szCs w:val="20"/>
        </w:rPr>
        <w:t> throughout Asia Pacific</w:t>
      </w:r>
      <w:r w:rsidRPr="00D2201A">
        <w:rPr>
          <w:rFonts w:ascii="Arial" w:hAnsi="Arial" w:cs="Arial"/>
          <w:sz w:val="20"/>
          <w:szCs w:val="20"/>
          <w:shd w:val="clear" w:color="auto" w:fill="FFFFFF"/>
        </w:rPr>
        <w:t>.</w:t>
      </w:r>
      <w:r w:rsidRPr="00D2201A">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p>
    <w:p w14:paraId="21221DE5" w14:textId="77777777" w:rsidR="00584A6A" w:rsidRPr="00D2201A" w:rsidRDefault="00584A6A" w:rsidP="00D2201A">
      <w:pPr>
        <w:ind w:right="-1"/>
        <w:rPr>
          <w:rFonts w:ascii="Arial" w:hAnsi="Arial" w:cs="Arial"/>
          <w:sz w:val="20"/>
          <w:szCs w:val="20"/>
        </w:rPr>
      </w:pPr>
      <w:r w:rsidRPr="00D2201A">
        <w:rPr>
          <w:rFonts w:ascii="Arial" w:eastAsia="MS Gothic" w:hAnsi="Arial" w:cs="Arial"/>
          <w:sz w:val="20"/>
          <w:szCs w:val="20"/>
        </w:rPr>
        <w:t xml:space="preserve">Premier Farnell sells direct to consumers through </w:t>
      </w:r>
      <w:r w:rsidR="00BB1655" w:rsidRPr="00D2201A">
        <w:rPr>
          <w:rFonts w:ascii="Arial" w:eastAsia="MS Gothic" w:hAnsi="Arial" w:cs="Arial"/>
          <w:sz w:val="20"/>
          <w:szCs w:val="20"/>
        </w:rPr>
        <w:t xml:space="preserve">Forthings.io in the </w:t>
      </w:r>
      <w:hyperlink r:id="rId19" w:history="1">
        <w:r w:rsidR="00BB1655" w:rsidRPr="00D2201A">
          <w:rPr>
            <w:rStyle w:val="Hyperlink"/>
            <w:rFonts w:ascii="Arial" w:hAnsi="Arial" w:cs="Arial"/>
            <w:sz w:val="20"/>
            <w:szCs w:val="20"/>
          </w:rPr>
          <w:t>UK</w:t>
        </w:r>
      </w:hyperlink>
      <w:r w:rsidR="00BB1655" w:rsidRPr="00D2201A">
        <w:rPr>
          <w:rFonts w:ascii="Arial" w:hAnsi="Arial" w:cs="Arial"/>
          <w:color w:val="auto"/>
          <w:sz w:val="20"/>
          <w:szCs w:val="20"/>
        </w:rPr>
        <w:t xml:space="preserve"> and </w:t>
      </w:r>
      <w:hyperlink r:id="rId20" w:history="1">
        <w:r w:rsidR="00BB1655" w:rsidRPr="00D2201A">
          <w:rPr>
            <w:rStyle w:val="Hyperlink"/>
            <w:rFonts w:ascii="Arial" w:hAnsi="Arial" w:cs="Arial"/>
            <w:sz w:val="20"/>
            <w:szCs w:val="20"/>
          </w:rPr>
          <w:t>Ireland</w:t>
        </w:r>
      </w:hyperlink>
      <w:r w:rsidR="008947C0" w:rsidRPr="00D2201A">
        <w:rPr>
          <w:rFonts w:ascii="Arial" w:hAnsi="Arial" w:cs="Arial"/>
          <w:color w:val="auto"/>
          <w:sz w:val="20"/>
          <w:szCs w:val="20"/>
        </w:rPr>
        <w:t xml:space="preserve">, </w:t>
      </w:r>
      <w:hyperlink r:id="rId21" w:history="1">
        <w:r w:rsidR="00BB1655" w:rsidRPr="00D2201A">
          <w:rPr>
            <w:rStyle w:val="Hyperlink"/>
            <w:rFonts w:ascii="Arial" w:hAnsi="Arial" w:cs="Arial"/>
            <w:sz w:val="20"/>
            <w:szCs w:val="20"/>
          </w:rPr>
          <w:t>Spain</w:t>
        </w:r>
      </w:hyperlink>
      <w:r w:rsidR="00BB1655" w:rsidRPr="00D2201A">
        <w:rPr>
          <w:rFonts w:ascii="Arial" w:hAnsi="Arial" w:cs="Arial"/>
          <w:color w:val="auto"/>
          <w:sz w:val="20"/>
          <w:szCs w:val="20"/>
        </w:rPr>
        <w:t xml:space="preserve">, </w:t>
      </w:r>
      <w:hyperlink r:id="rId22" w:history="1">
        <w:r w:rsidR="00BB1655" w:rsidRPr="00D2201A">
          <w:rPr>
            <w:rStyle w:val="Hyperlink"/>
            <w:rFonts w:ascii="Arial" w:hAnsi="Arial" w:cs="Arial"/>
            <w:sz w:val="20"/>
            <w:szCs w:val="20"/>
          </w:rPr>
          <w:t>Denmark</w:t>
        </w:r>
      </w:hyperlink>
      <w:r w:rsidR="00BB1655" w:rsidRPr="00D2201A">
        <w:rPr>
          <w:rFonts w:ascii="Arial" w:hAnsi="Arial" w:cs="Arial"/>
          <w:color w:val="auto"/>
          <w:sz w:val="20"/>
          <w:szCs w:val="20"/>
        </w:rPr>
        <w:t xml:space="preserve">, </w:t>
      </w:r>
      <w:hyperlink r:id="rId23" w:history="1">
        <w:r w:rsidR="00BB1655" w:rsidRPr="00D2201A">
          <w:rPr>
            <w:rStyle w:val="Hyperlink"/>
            <w:rFonts w:ascii="Arial" w:hAnsi="Arial" w:cs="Arial"/>
            <w:sz w:val="20"/>
            <w:szCs w:val="20"/>
          </w:rPr>
          <w:t>Finland</w:t>
        </w:r>
      </w:hyperlink>
      <w:r w:rsidR="00BB1655" w:rsidRPr="00D2201A">
        <w:rPr>
          <w:rFonts w:ascii="Arial" w:hAnsi="Arial" w:cs="Arial"/>
          <w:color w:val="auto"/>
          <w:sz w:val="20"/>
          <w:szCs w:val="20"/>
        </w:rPr>
        <w:t xml:space="preserve"> and </w:t>
      </w:r>
      <w:hyperlink r:id="rId24" w:history="1">
        <w:r w:rsidR="00BB1655" w:rsidRPr="00D2201A">
          <w:rPr>
            <w:rStyle w:val="Hyperlink"/>
            <w:rFonts w:ascii="Arial" w:hAnsi="Arial" w:cs="Arial"/>
            <w:sz w:val="20"/>
            <w:szCs w:val="20"/>
          </w:rPr>
          <w:t>Sweden</w:t>
        </w:r>
      </w:hyperlink>
      <w:r w:rsidR="00BB1655" w:rsidRPr="00D2201A">
        <w:rPr>
          <w:rFonts w:ascii="Arial" w:eastAsia="MS Gothic" w:hAnsi="Arial" w:cs="Arial"/>
          <w:sz w:val="20"/>
          <w:szCs w:val="20"/>
        </w:rPr>
        <w:t xml:space="preserve">, </w:t>
      </w:r>
      <w:r w:rsidRPr="00D2201A">
        <w:rPr>
          <w:rFonts w:ascii="Arial" w:eastAsia="MS Gothic" w:hAnsi="Arial" w:cs="Arial"/>
          <w:sz w:val="20"/>
          <w:szCs w:val="20"/>
        </w:rPr>
        <w:t>a network of resellers, a</w:t>
      </w:r>
      <w:r w:rsidR="00BB1655" w:rsidRPr="00D2201A">
        <w:rPr>
          <w:rFonts w:ascii="Arial" w:eastAsia="MS Gothic" w:hAnsi="Arial" w:cs="Arial"/>
          <w:sz w:val="20"/>
          <w:szCs w:val="20"/>
        </w:rPr>
        <w:t xml:space="preserve">nd </w:t>
      </w:r>
      <w:r w:rsidRPr="00D2201A">
        <w:rPr>
          <w:rFonts w:ascii="Arial" w:eastAsia="MS Gothic" w:hAnsi="Arial" w:cs="Arial"/>
          <w:sz w:val="20"/>
          <w:szCs w:val="20"/>
        </w:rPr>
        <w:t xml:space="preserve">its </w:t>
      </w:r>
      <w:hyperlink r:id="rId25" w:history="1">
        <w:r w:rsidRPr="00D2201A">
          <w:rPr>
            <w:rStyle w:val="Hyperlink"/>
            <w:rFonts w:ascii="Arial" w:eastAsia="MS Gothic" w:hAnsi="Arial" w:cs="Arial"/>
            <w:sz w:val="20"/>
            <w:szCs w:val="20"/>
          </w:rPr>
          <w:t>CPC</w:t>
        </w:r>
      </w:hyperlink>
      <w:r w:rsidRPr="00D2201A">
        <w:rPr>
          <w:rFonts w:ascii="Arial" w:eastAsia="MS Gothic" w:hAnsi="Arial" w:cs="Arial"/>
          <w:sz w:val="20"/>
          <w:szCs w:val="20"/>
        </w:rPr>
        <w:t xml:space="preserve"> business in the UK.</w:t>
      </w:r>
    </w:p>
    <w:p w14:paraId="34E1A485" w14:textId="77777777" w:rsidR="00584A6A" w:rsidRPr="00D2201A" w:rsidRDefault="00584A6A" w:rsidP="00D2201A">
      <w:pPr>
        <w:shd w:val="clear" w:color="auto" w:fill="FFFFFF"/>
        <w:ind w:right="-1"/>
        <w:rPr>
          <w:rFonts w:ascii="Arial" w:hAnsi="Arial" w:cs="Arial"/>
          <w:sz w:val="20"/>
          <w:szCs w:val="20"/>
        </w:rPr>
      </w:pPr>
    </w:p>
    <w:p w14:paraId="4F716359" w14:textId="77777777" w:rsidR="00584A6A" w:rsidRPr="00D2201A" w:rsidRDefault="00584A6A" w:rsidP="00D2201A">
      <w:pPr>
        <w:shd w:val="clear" w:color="auto" w:fill="FFFFFF"/>
        <w:ind w:right="-1"/>
        <w:rPr>
          <w:rFonts w:ascii="Arial" w:hAnsi="Arial" w:cs="Arial"/>
          <w:sz w:val="20"/>
          <w:szCs w:val="20"/>
        </w:rPr>
      </w:pPr>
      <w:r w:rsidRPr="00D2201A">
        <w:rPr>
          <w:rFonts w:ascii="Arial" w:hAnsi="Arial" w:cs="Arial"/>
          <w:sz w:val="20"/>
          <w:szCs w:val="20"/>
        </w:rPr>
        <w:t xml:space="preserve">For more information, visit the website at </w:t>
      </w:r>
      <w:hyperlink r:id="rId26" w:history="1">
        <w:r w:rsidRPr="00D2201A">
          <w:rPr>
            <w:rStyle w:val="Hyperlink"/>
            <w:rFonts w:ascii="Arial" w:hAnsi="Arial" w:cs="Arial"/>
            <w:sz w:val="20"/>
            <w:szCs w:val="20"/>
          </w:rPr>
          <w:t>http://www.premierfarnell.com</w:t>
        </w:r>
      </w:hyperlink>
    </w:p>
    <w:p w14:paraId="4BFD2FCA" w14:textId="77777777" w:rsidR="00584A6A" w:rsidRPr="00D2201A" w:rsidRDefault="00584A6A" w:rsidP="00D2201A">
      <w:pPr>
        <w:shd w:val="clear" w:color="auto" w:fill="FFFFFF"/>
        <w:ind w:right="-1"/>
        <w:rPr>
          <w:rFonts w:ascii="Arial" w:hAnsi="Arial" w:cs="Arial"/>
          <w:sz w:val="20"/>
          <w:szCs w:val="20"/>
        </w:rPr>
      </w:pPr>
    </w:p>
    <w:p w14:paraId="4B1F25C9" w14:textId="77777777" w:rsidR="00584A6A" w:rsidRPr="00D2201A" w:rsidRDefault="00584A6A" w:rsidP="00D2201A">
      <w:pPr>
        <w:pStyle w:val="ColorfulList-Accent11"/>
        <w:spacing w:after="0" w:line="240" w:lineRule="auto"/>
        <w:ind w:left="0" w:right="-1"/>
        <w:rPr>
          <w:rFonts w:ascii="Arial" w:hAnsi="Arial" w:cs="Arial"/>
          <w:color w:val="000000"/>
          <w:sz w:val="20"/>
          <w:szCs w:val="20"/>
        </w:rPr>
      </w:pPr>
      <w:r w:rsidRPr="00D2201A">
        <w:rPr>
          <w:rFonts w:ascii="Arial" w:hAnsi="Arial" w:cs="Arial"/>
          <w:b/>
          <w:bCs/>
          <w:sz w:val="20"/>
          <w:szCs w:val="20"/>
        </w:rPr>
        <w:t>European PR Agency:</w:t>
      </w:r>
      <w:r w:rsidRPr="00D2201A">
        <w:rPr>
          <w:rFonts w:ascii="Arial" w:hAnsi="Arial" w:cs="Arial"/>
          <w:b/>
          <w:color w:val="000000"/>
          <w:sz w:val="20"/>
          <w:szCs w:val="20"/>
          <w:u w:val="single"/>
        </w:rPr>
        <w:t xml:space="preserve"> </w:t>
      </w:r>
    </w:p>
    <w:p w14:paraId="04F95BDA" w14:textId="77777777" w:rsidR="00584A6A" w:rsidRPr="00D2201A" w:rsidRDefault="00584A6A" w:rsidP="00D2201A">
      <w:pPr>
        <w:ind w:right="-1"/>
        <w:rPr>
          <w:rFonts w:ascii="Arial" w:hAnsi="Arial" w:cs="Arial"/>
          <w:b/>
          <w:bCs/>
          <w:sz w:val="20"/>
          <w:szCs w:val="20"/>
        </w:rPr>
      </w:pPr>
      <w:r w:rsidRPr="00D2201A">
        <w:rPr>
          <w:rFonts w:ascii="Arial" w:hAnsi="Arial" w:cs="Arial"/>
          <w:b/>
          <w:bCs/>
          <w:sz w:val="20"/>
          <w:szCs w:val="20"/>
        </w:rPr>
        <w:t>Freya Ward</w:t>
      </w:r>
    </w:p>
    <w:p w14:paraId="6D4566C6" w14:textId="77777777" w:rsidR="00584A6A" w:rsidRPr="00D2201A" w:rsidRDefault="00584A6A" w:rsidP="00D2201A">
      <w:pPr>
        <w:ind w:right="-1"/>
        <w:rPr>
          <w:rFonts w:ascii="Arial" w:hAnsi="Arial" w:cs="Arial"/>
          <w:b/>
          <w:bCs/>
          <w:sz w:val="20"/>
          <w:szCs w:val="20"/>
        </w:rPr>
      </w:pPr>
      <w:r w:rsidRPr="00D2201A">
        <w:rPr>
          <w:rFonts w:ascii="Arial" w:hAnsi="Arial" w:cs="Arial"/>
          <w:b/>
          <w:bCs/>
          <w:sz w:val="20"/>
          <w:szCs w:val="20"/>
        </w:rPr>
        <w:t>Napier Partnership</w:t>
      </w:r>
    </w:p>
    <w:p w14:paraId="1A84BD0F" w14:textId="77777777" w:rsidR="00584A6A" w:rsidRPr="00D2201A" w:rsidRDefault="00584A6A" w:rsidP="00D2201A">
      <w:pPr>
        <w:ind w:right="-1"/>
        <w:rPr>
          <w:rFonts w:ascii="Arial" w:hAnsi="Arial" w:cs="Arial"/>
          <w:bCs/>
          <w:sz w:val="20"/>
          <w:szCs w:val="20"/>
        </w:rPr>
      </w:pPr>
      <w:r w:rsidRPr="00D2201A">
        <w:rPr>
          <w:rFonts w:ascii="Arial" w:hAnsi="Arial" w:cs="Arial"/>
          <w:bCs/>
          <w:sz w:val="20"/>
          <w:szCs w:val="20"/>
        </w:rPr>
        <w:t>Tel: +44 1243 531123</w:t>
      </w:r>
    </w:p>
    <w:p w14:paraId="71559720" w14:textId="77777777" w:rsidR="00584A6A" w:rsidRPr="00D2201A" w:rsidRDefault="00584A6A" w:rsidP="00D2201A">
      <w:pPr>
        <w:ind w:right="-1"/>
        <w:rPr>
          <w:rStyle w:val="Hyperlink"/>
          <w:rFonts w:ascii="Arial" w:hAnsi="Arial" w:cs="Arial"/>
          <w:sz w:val="20"/>
          <w:szCs w:val="20"/>
        </w:rPr>
      </w:pPr>
      <w:r w:rsidRPr="00D2201A">
        <w:rPr>
          <w:rFonts w:ascii="Arial" w:hAnsi="Arial" w:cs="Arial"/>
          <w:bCs/>
          <w:sz w:val="20"/>
          <w:szCs w:val="20"/>
        </w:rPr>
        <w:t xml:space="preserve">Email: </w:t>
      </w:r>
      <w:hyperlink r:id="rId27" w:history="1">
        <w:r w:rsidRPr="00D2201A">
          <w:rPr>
            <w:rStyle w:val="Hyperlink"/>
            <w:rFonts w:ascii="Arial" w:hAnsi="Arial" w:cs="Arial"/>
            <w:sz w:val="20"/>
            <w:szCs w:val="20"/>
          </w:rPr>
          <w:t>Freya@napierb2b.com</w:t>
        </w:r>
      </w:hyperlink>
    </w:p>
    <w:p w14:paraId="7B93AD0B" w14:textId="77777777" w:rsidR="00584A6A" w:rsidRPr="00D2201A" w:rsidRDefault="00584A6A" w:rsidP="00D2201A">
      <w:pPr>
        <w:ind w:right="-1"/>
        <w:rPr>
          <w:rFonts w:ascii="Arial" w:hAnsi="Arial" w:cs="Arial"/>
          <w:b/>
          <w:bCs/>
          <w:sz w:val="20"/>
          <w:szCs w:val="20"/>
        </w:rPr>
      </w:pPr>
    </w:p>
    <w:p w14:paraId="6B627A1A" w14:textId="77777777" w:rsidR="00584A6A" w:rsidRPr="00D2201A" w:rsidRDefault="00584A6A" w:rsidP="00D2201A">
      <w:pPr>
        <w:ind w:right="-1"/>
        <w:rPr>
          <w:rFonts w:ascii="Arial" w:hAnsi="Arial" w:cs="Arial"/>
          <w:b/>
          <w:bCs/>
          <w:sz w:val="20"/>
          <w:szCs w:val="20"/>
        </w:rPr>
      </w:pPr>
      <w:r w:rsidRPr="00D2201A">
        <w:rPr>
          <w:rFonts w:ascii="Arial" w:hAnsi="Arial" w:cs="Arial"/>
          <w:b/>
          <w:bCs/>
          <w:sz w:val="20"/>
          <w:szCs w:val="20"/>
        </w:rPr>
        <w:t>Premier Farnell:</w:t>
      </w:r>
    </w:p>
    <w:p w14:paraId="3BF32212" w14:textId="77777777" w:rsidR="00584A6A" w:rsidRPr="00D2201A" w:rsidRDefault="00584A6A" w:rsidP="00D2201A">
      <w:pPr>
        <w:ind w:right="-1"/>
        <w:rPr>
          <w:rFonts w:ascii="Arial" w:hAnsi="Arial" w:cs="Arial"/>
          <w:b/>
          <w:bCs/>
          <w:sz w:val="20"/>
          <w:szCs w:val="20"/>
        </w:rPr>
      </w:pPr>
      <w:r w:rsidRPr="00D2201A">
        <w:rPr>
          <w:rFonts w:ascii="Arial" w:hAnsi="Arial" w:cs="Arial"/>
          <w:b/>
          <w:bCs/>
          <w:sz w:val="20"/>
          <w:szCs w:val="20"/>
        </w:rPr>
        <w:t>Holly Smart</w:t>
      </w:r>
    </w:p>
    <w:p w14:paraId="796ED24B" w14:textId="77777777" w:rsidR="00584A6A" w:rsidRPr="00D2201A" w:rsidRDefault="00584A6A" w:rsidP="00D2201A">
      <w:pPr>
        <w:ind w:right="-1"/>
        <w:rPr>
          <w:rFonts w:ascii="Arial" w:hAnsi="Arial" w:cs="Arial"/>
          <w:b/>
          <w:bCs/>
          <w:sz w:val="20"/>
          <w:szCs w:val="20"/>
        </w:rPr>
      </w:pPr>
      <w:r w:rsidRPr="00D2201A">
        <w:rPr>
          <w:rFonts w:ascii="Arial" w:hAnsi="Arial" w:cs="Arial"/>
          <w:b/>
          <w:bCs/>
          <w:sz w:val="20"/>
          <w:szCs w:val="20"/>
        </w:rPr>
        <w:t>Head of PR and External Communications</w:t>
      </w:r>
    </w:p>
    <w:p w14:paraId="2B868B92" w14:textId="77777777" w:rsidR="00584A6A" w:rsidRPr="00D2201A" w:rsidRDefault="00584A6A" w:rsidP="00D2201A">
      <w:pPr>
        <w:ind w:right="-1"/>
        <w:rPr>
          <w:rFonts w:ascii="Arial" w:hAnsi="Arial" w:cs="Arial"/>
          <w:bCs/>
          <w:sz w:val="20"/>
          <w:szCs w:val="20"/>
        </w:rPr>
      </w:pPr>
      <w:r w:rsidRPr="00D2201A">
        <w:rPr>
          <w:rFonts w:ascii="Arial" w:hAnsi="Arial" w:cs="Arial"/>
          <w:bCs/>
          <w:sz w:val="20"/>
          <w:szCs w:val="20"/>
        </w:rPr>
        <w:t>Tel: +44 113 2485188</w:t>
      </w:r>
    </w:p>
    <w:p w14:paraId="63A5317C" w14:textId="77777777" w:rsidR="00584A6A" w:rsidRPr="00D2201A" w:rsidRDefault="00584A6A" w:rsidP="00D2201A">
      <w:pPr>
        <w:ind w:right="-1"/>
        <w:rPr>
          <w:rFonts w:ascii="Arial" w:hAnsi="Arial" w:cs="Arial"/>
          <w:sz w:val="20"/>
          <w:szCs w:val="20"/>
          <w:u w:val="single"/>
        </w:rPr>
      </w:pPr>
      <w:r w:rsidRPr="00D2201A">
        <w:rPr>
          <w:rFonts w:ascii="Arial" w:hAnsi="Arial" w:cs="Arial"/>
          <w:bCs/>
          <w:sz w:val="20"/>
          <w:szCs w:val="20"/>
        </w:rPr>
        <w:t>Email:</w:t>
      </w:r>
      <w:r w:rsidRPr="00D2201A">
        <w:rPr>
          <w:rFonts w:ascii="Arial" w:hAnsi="Arial" w:cs="Arial"/>
          <w:b/>
          <w:bCs/>
          <w:sz w:val="20"/>
          <w:szCs w:val="20"/>
        </w:rPr>
        <w:t> </w:t>
      </w:r>
      <w:hyperlink r:id="rId28" w:history="1">
        <w:r w:rsidRPr="00D2201A">
          <w:rPr>
            <w:rStyle w:val="Hyperlink"/>
            <w:rFonts w:ascii="Arial" w:hAnsi="Arial" w:cs="Arial"/>
            <w:sz w:val="20"/>
            <w:szCs w:val="20"/>
          </w:rPr>
          <w:t>hsmart@premierfarnell.com</w:t>
        </w:r>
      </w:hyperlink>
      <w:r w:rsidRPr="00D2201A">
        <w:rPr>
          <w:rFonts w:ascii="Arial" w:hAnsi="Arial" w:cs="Arial"/>
          <w:bCs/>
          <w:sz w:val="20"/>
          <w:szCs w:val="20"/>
        </w:rPr>
        <w:t xml:space="preserve">  </w:t>
      </w:r>
    </w:p>
    <w:p w14:paraId="53684CE5" w14:textId="77777777" w:rsidR="00DF1061" w:rsidRPr="00D2201A" w:rsidRDefault="00DF1061" w:rsidP="00D2201A">
      <w:pPr>
        <w:ind w:right="-1"/>
        <w:rPr>
          <w:rFonts w:ascii="Arial" w:hAnsi="Arial" w:cs="Arial"/>
          <w:sz w:val="20"/>
          <w:szCs w:val="20"/>
        </w:rPr>
      </w:pPr>
    </w:p>
    <w:sectPr w:rsidR="00DF1061" w:rsidRPr="00D2201A" w:rsidSect="007E2278">
      <w:headerReference w:type="even" r:id="rId29"/>
      <w:headerReference w:type="default" r:id="rId30"/>
      <w:footerReference w:type="even" r:id="rId31"/>
      <w:footerReference w:type="default" r:id="rId32"/>
      <w:headerReference w:type="first" r:id="rId33"/>
      <w:footerReference w:type="first" r:id="rId34"/>
      <w:pgSz w:w="11900" w:h="16840"/>
      <w:pgMar w:top="1440" w:right="1127" w:bottom="1440" w:left="1276" w:header="709" w:footer="2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04F4" w14:textId="77777777" w:rsidR="004654FF" w:rsidRDefault="004654FF" w:rsidP="001C020F">
      <w:r>
        <w:separator/>
      </w:r>
    </w:p>
  </w:endnote>
  <w:endnote w:type="continuationSeparator" w:id="0">
    <w:p w14:paraId="1980F6F8" w14:textId="77777777" w:rsidR="004654FF" w:rsidRDefault="004654FF"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5850" w14:textId="5B744049" w:rsidR="00844F2C" w:rsidRDefault="00844F2C" w:rsidP="00844F2C">
    <w:pPr>
      <w:tabs>
        <w:tab w:val="center" w:pos="4513"/>
        <w:tab w:val="right" w:pos="9026"/>
      </w:tabs>
      <w:rPr>
        <w:rFonts w:ascii="Caibri" w:eastAsia="Caibri" w:hAnsi="Caibri" w:cs="Caibri"/>
        <w:sz w:val="22"/>
        <w:szCs w:val="22"/>
      </w:rPr>
    </w:pPr>
    <w:r>
      <w:rPr>
        <w:rFonts w:ascii="Caibri" w:eastAsia="Caibri" w:hAnsi="Caibri" w:cs="Caibri"/>
        <w:sz w:val="22"/>
        <w:szCs w:val="22"/>
      </w:rPr>
      <w:t>FAR</w:t>
    </w:r>
    <w:r w:rsidR="00A757AF">
      <w:rPr>
        <w:rFonts w:ascii="Caibri" w:eastAsia="Caibri" w:hAnsi="Caibri" w:cs="Caibri"/>
        <w:sz w:val="22"/>
        <w:szCs w:val="22"/>
      </w:rPr>
      <w:t>300</w:t>
    </w:r>
    <w:r>
      <w:rPr>
        <w:rFonts w:ascii="Caibri" w:eastAsia="Caibri" w:hAnsi="Caibri" w:cs="Caibri"/>
        <w:sz w:val="22"/>
        <w:szCs w:val="22"/>
      </w:rPr>
      <w:t>en</w:t>
    </w:r>
    <w:bookmarkStart w:id="1" w:name="XILINX1FooterEvenPages"/>
  </w:p>
  <w:p w14:paraId="5B93E24E" w14:textId="77777777" w:rsidR="00844F2C" w:rsidRDefault="00844F2C" w:rsidP="00844F2C">
    <w:pPr>
      <w:tabs>
        <w:tab w:val="center" w:pos="4513"/>
        <w:tab w:val="right" w:pos="9026"/>
      </w:tabs>
      <w:jc w:val="center"/>
      <w:rPr>
        <w:rFonts w:ascii="Caibri" w:eastAsia="Caibri" w:hAnsi="Caibri" w:cs="Caibri"/>
        <w:sz w:val="22"/>
        <w:szCs w:val="22"/>
      </w:rPr>
    </w:pPr>
    <w:r w:rsidRPr="00844F2C">
      <w:rPr>
        <w:rFonts w:ascii="Caibri" w:eastAsia="Caibri" w:hAnsi="Caibri" w:cs="Caibri"/>
        <w:sz w:val="17"/>
        <w:szCs w:val="22"/>
      </w:rPr>
      <w:t xml:space="preserve">  </w:t>
    </w:r>
  </w:p>
  <w:bookmarkEnd w:id="1"/>
  <w:p w14:paraId="535DC418" w14:textId="77777777" w:rsidR="00844F2C" w:rsidRDefault="00844F2C" w:rsidP="00844F2C">
    <w:pPr>
      <w:tabs>
        <w:tab w:val="center" w:pos="4513"/>
        <w:tab w:val="right" w:pos="9026"/>
      </w:tabs>
      <w:rPr>
        <w:rFonts w:ascii="Caibri" w:eastAsia="Caibri" w:hAnsi="Caibri" w:cs="Ca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E2A1" w14:textId="77777777" w:rsidR="00561829" w:rsidRDefault="00CD062D" w:rsidP="00844F2C">
    <w:pPr>
      <w:tabs>
        <w:tab w:val="center" w:pos="4513"/>
        <w:tab w:val="right" w:pos="9026"/>
      </w:tabs>
      <w:rPr>
        <w:rFonts w:ascii="Caibri" w:eastAsia="Caibri" w:hAnsi="Caibri" w:cs="Caibri"/>
        <w:sz w:val="22"/>
        <w:szCs w:val="22"/>
      </w:rPr>
    </w:pPr>
    <w:r>
      <w:rPr>
        <w:rFonts w:ascii="Caibri" w:eastAsia="Caibri" w:hAnsi="Caibri" w:cs="Caibri"/>
        <w:sz w:val="22"/>
        <w:szCs w:val="22"/>
      </w:rPr>
      <w:t>FAR</w:t>
    </w:r>
    <w:r w:rsidR="00981FA2">
      <w:rPr>
        <w:rFonts w:ascii="Caibri" w:eastAsia="Caibri" w:hAnsi="Caibri" w:cs="Caibri"/>
        <w:sz w:val="22"/>
        <w:szCs w:val="22"/>
      </w:rPr>
      <w:t>245en</w:t>
    </w:r>
    <w:bookmarkStart w:id="2" w:name="XILINX1FooterPrimary"/>
  </w:p>
  <w:p w14:paraId="09590EDC" w14:textId="77777777" w:rsidR="00844F2C" w:rsidRDefault="00844F2C" w:rsidP="00844F2C">
    <w:pPr>
      <w:tabs>
        <w:tab w:val="center" w:pos="4513"/>
        <w:tab w:val="right" w:pos="9026"/>
      </w:tabs>
      <w:jc w:val="center"/>
      <w:rPr>
        <w:rFonts w:ascii="Caibri" w:eastAsia="Caibri" w:hAnsi="Caibri" w:cs="Caibri"/>
        <w:sz w:val="22"/>
        <w:szCs w:val="22"/>
      </w:rPr>
    </w:pPr>
    <w:r w:rsidRPr="00844F2C">
      <w:rPr>
        <w:rFonts w:ascii="Caibri" w:eastAsia="Caibri" w:hAnsi="Caibri" w:cs="Caibri"/>
        <w:sz w:val="17"/>
        <w:szCs w:val="22"/>
      </w:rPr>
      <w:t xml:space="preserve">  </w:t>
    </w:r>
  </w:p>
  <w:bookmarkEnd w:id="2"/>
  <w:p w14:paraId="389BD5A1" w14:textId="77777777" w:rsidR="00844F2C" w:rsidRDefault="00844F2C" w:rsidP="00981FA2">
    <w:pPr>
      <w:tabs>
        <w:tab w:val="center" w:pos="4513"/>
        <w:tab w:val="right" w:pos="9026"/>
      </w:tabs>
      <w:rPr>
        <w:rFonts w:ascii="Caibri" w:eastAsia="Caibri" w:hAnsi="Caibri" w:cs="Ca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74E9" w14:textId="49B3A7AC" w:rsidR="00844F2C" w:rsidRDefault="00844F2C" w:rsidP="00844F2C">
    <w:pPr>
      <w:tabs>
        <w:tab w:val="center" w:pos="4513"/>
        <w:tab w:val="right" w:pos="9026"/>
      </w:tabs>
      <w:rPr>
        <w:rFonts w:ascii="Caibri" w:eastAsia="Caibri" w:hAnsi="Caibri" w:cs="Caibri"/>
        <w:sz w:val="22"/>
        <w:szCs w:val="22"/>
      </w:rPr>
    </w:pPr>
    <w:r>
      <w:rPr>
        <w:rFonts w:ascii="Caibri" w:eastAsia="Caibri" w:hAnsi="Caibri" w:cs="Caibri"/>
        <w:sz w:val="22"/>
        <w:szCs w:val="22"/>
      </w:rPr>
      <w:t>FAR</w:t>
    </w:r>
    <w:r w:rsidR="008E0C39">
      <w:rPr>
        <w:rFonts w:ascii="Caibri" w:eastAsia="Caibri" w:hAnsi="Caibri" w:cs="Caibri"/>
        <w:sz w:val="22"/>
        <w:szCs w:val="22"/>
      </w:rPr>
      <w:t>300</w:t>
    </w:r>
    <w:r>
      <w:rPr>
        <w:rFonts w:ascii="Caibri" w:eastAsia="Caibri" w:hAnsi="Caibri" w:cs="Caibri"/>
        <w:sz w:val="22"/>
        <w:szCs w:val="22"/>
      </w:rPr>
      <w:t>en</w:t>
    </w:r>
    <w:bookmarkStart w:id="3" w:name="XILINX1FooterFirstPage"/>
  </w:p>
  <w:p w14:paraId="42EDE603" w14:textId="77777777" w:rsidR="00844F2C" w:rsidRDefault="00844F2C" w:rsidP="00844F2C">
    <w:pPr>
      <w:tabs>
        <w:tab w:val="center" w:pos="4513"/>
        <w:tab w:val="right" w:pos="9026"/>
      </w:tabs>
      <w:jc w:val="center"/>
      <w:rPr>
        <w:rFonts w:ascii="Caibri" w:eastAsia="Caibri" w:hAnsi="Caibri" w:cs="Caibri"/>
        <w:sz w:val="22"/>
        <w:szCs w:val="22"/>
      </w:rPr>
    </w:pPr>
    <w:r w:rsidRPr="00844F2C">
      <w:rPr>
        <w:rFonts w:ascii="Caibri" w:eastAsia="Caibri" w:hAnsi="Caibri" w:cs="Caibri"/>
        <w:sz w:val="17"/>
        <w:szCs w:val="22"/>
      </w:rPr>
      <w:t xml:space="preserve">  </w:t>
    </w:r>
  </w:p>
  <w:bookmarkEnd w:id="3"/>
  <w:p w14:paraId="3B9DD2FD" w14:textId="77777777" w:rsidR="00844F2C" w:rsidRDefault="00844F2C" w:rsidP="00844F2C">
    <w:pPr>
      <w:tabs>
        <w:tab w:val="center" w:pos="4513"/>
        <w:tab w:val="right" w:pos="9026"/>
      </w:tabs>
      <w:rPr>
        <w:rFonts w:ascii="Caibri" w:eastAsia="Caibri" w:hAnsi="Caibri" w:cs="Ca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6BA7" w14:textId="77777777" w:rsidR="004654FF" w:rsidRDefault="004654FF" w:rsidP="001C020F">
      <w:r>
        <w:separator/>
      </w:r>
    </w:p>
  </w:footnote>
  <w:footnote w:type="continuationSeparator" w:id="0">
    <w:p w14:paraId="79289A00" w14:textId="77777777" w:rsidR="004654FF" w:rsidRDefault="004654FF"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BB35" w14:textId="77777777" w:rsidR="00844F2C" w:rsidRDefault="00844F2C" w:rsidP="00844F2C">
    <w:pPr>
      <w:tabs>
        <w:tab w:val="left" w:pos="4905"/>
      </w:tabs>
      <w:rPr>
        <w:noProof/>
        <w:lang w:eastAsia="en-GB"/>
      </w:rPr>
    </w:pPr>
    <w:r>
      <w:rPr>
        <w:noProof/>
        <w:lang w:val="en-US"/>
      </w:rPr>
      <w:drawing>
        <wp:anchor distT="0" distB="0" distL="114300" distR="114300" simplePos="0" relativeHeight="251672064" behindDoc="0" locked="0" layoutInCell="1" allowOverlap="1" wp14:anchorId="0FDD3CC2" wp14:editId="35709FE4">
          <wp:simplePos x="0" y="0"/>
          <wp:positionH relativeFrom="column">
            <wp:posOffset>1964055</wp:posOffset>
          </wp:positionH>
          <wp:positionV relativeFrom="paragraph">
            <wp:posOffset>16510</wp:posOffset>
          </wp:positionV>
          <wp:extent cx="1885950"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040" behindDoc="0" locked="0" layoutInCell="1" allowOverlap="1" wp14:anchorId="3CB2B742" wp14:editId="2F2D391E">
          <wp:simplePos x="0" y="0"/>
          <wp:positionH relativeFrom="column">
            <wp:posOffset>4250055</wp:posOffset>
          </wp:positionH>
          <wp:positionV relativeFrom="paragraph">
            <wp:posOffset>84455</wp:posOffset>
          </wp:positionV>
          <wp:extent cx="1914525" cy="185420"/>
          <wp:effectExtent l="0" t="0" r="9525" b="5080"/>
          <wp:wrapNone/>
          <wp:docPr id="8" name="Picture 8"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016" behindDoc="0" locked="0" layoutInCell="1" hidden="0" allowOverlap="1" wp14:anchorId="74F4FB14" wp14:editId="75511D88">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14:paraId="4039E819" w14:textId="77777777" w:rsidR="00844F2C" w:rsidRDefault="00844F2C" w:rsidP="00844F2C">
    <w:pPr>
      <w:tabs>
        <w:tab w:val="left" w:pos="4905"/>
      </w:tabs>
      <w:rPr>
        <w:noProof/>
        <w:lang w:eastAsia="en-GB"/>
      </w:rPr>
    </w:pPr>
  </w:p>
  <w:p w14:paraId="0889ED10" w14:textId="77777777" w:rsidR="00844F2C" w:rsidRDefault="00844F2C" w:rsidP="00844F2C">
    <w:pPr>
      <w:tabs>
        <w:tab w:val="left" w:pos="49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6476" w14:textId="77777777" w:rsidR="001C020F" w:rsidRDefault="008947C0" w:rsidP="001C020F">
    <w:pPr>
      <w:tabs>
        <w:tab w:val="left" w:pos="4905"/>
      </w:tabs>
      <w:rPr>
        <w:noProof/>
        <w:lang w:eastAsia="en-GB"/>
      </w:rPr>
    </w:pPr>
    <w:r>
      <w:rPr>
        <w:noProof/>
        <w:lang w:val="en-US"/>
      </w:rPr>
      <w:drawing>
        <wp:anchor distT="0" distB="0" distL="114300" distR="114300" simplePos="0" relativeHeight="251658752" behindDoc="0" locked="0" layoutInCell="1" allowOverlap="1" wp14:anchorId="76CC03B6" wp14:editId="0BB750CF">
          <wp:simplePos x="0" y="0"/>
          <wp:positionH relativeFrom="column">
            <wp:posOffset>1964055</wp:posOffset>
          </wp:positionH>
          <wp:positionV relativeFrom="paragraph">
            <wp:posOffset>16510</wp:posOffset>
          </wp:positionV>
          <wp:extent cx="1885950" cy="3219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12A3DA10" wp14:editId="32F14884">
          <wp:simplePos x="0" y="0"/>
          <wp:positionH relativeFrom="column">
            <wp:posOffset>4250055</wp:posOffset>
          </wp:positionH>
          <wp:positionV relativeFrom="paragraph">
            <wp:posOffset>84455</wp:posOffset>
          </wp:positionV>
          <wp:extent cx="1914525" cy="185420"/>
          <wp:effectExtent l="0" t="0" r="9525" b="5080"/>
          <wp:wrapNone/>
          <wp:docPr id="5" name="Picture 5"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hidden="0" allowOverlap="1" wp14:anchorId="6D77CC56" wp14:editId="27E6FE06">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14:paraId="4165C10F" w14:textId="77777777" w:rsidR="001C020F" w:rsidRDefault="001C020F" w:rsidP="001C020F">
    <w:pPr>
      <w:tabs>
        <w:tab w:val="left" w:pos="4905"/>
      </w:tabs>
      <w:rPr>
        <w:noProof/>
        <w:lang w:eastAsia="en-GB"/>
      </w:rPr>
    </w:pPr>
  </w:p>
  <w:p w14:paraId="77AC2D25" w14:textId="77777777" w:rsidR="001C020F" w:rsidRDefault="001C020F" w:rsidP="001C020F">
    <w:pPr>
      <w:tabs>
        <w:tab w:val="left" w:pos="49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270" w14:textId="77777777" w:rsidR="00844F2C" w:rsidRDefault="00844F2C" w:rsidP="00844F2C">
    <w:pPr>
      <w:tabs>
        <w:tab w:val="left" w:pos="4905"/>
      </w:tabs>
      <w:rPr>
        <w:noProof/>
        <w:lang w:eastAsia="en-GB"/>
      </w:rPr>
    </w:pPr>
    <w:r>
      <w:rPr>
        <w:noProof/>
        <w:lang w:val="en-US"/>
      </w:rPr>
      <w:drawing>
        <wp:anchor distT="0" distB="0" distL="114300" distR="114300" simplePos="0" relativeHeight="251661824" behindDoc="0" locked="0" layoutInCell="1" allowOverlap="1" wp14:anchorId="63ABEC8B" wp14:editId="559E6B75">
          <wp:simplePos x="0" y="0"/>
          <wp:positionH relativeFrom="column">
            <wp:posOffset>1964055</wp:posOffset>
          </wp:positionH>
          <wp:positionV relativeFrom="paragraph">
            <wp:posOffset>16510</wp:posOffset>
          </wp:positionV>
          <wp:extent cx="1885950" cy="321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0" locked="0" layoutInCell="1" allowOverlap="1" wp14:anchorId="398D54FA" wp14:editId="7E01BCC1">
          <wp:simplePos x="0" y="0"/>
          <wp:positionH relativeFrom="column">
            <wp:posOffset>4250055</wp:posOffset>
          </wp:positionH>
          <wp:positionV relativeFrom="paragraph">
            <wp:posOffset>84455</wp:posOffset>
          </wp:positionV>
          <wp:extent cx="1914525" cy="185420"/>
          <wp:effectExtent l="0" t="0" r="9525" b="5080"/>
          <wp:wrapNone/>
          <wp:docPr id="2" name="Picture 2"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0" locked="0" layoutInCell="1" hidden="0" allowOverlap="1" wp14:anchorId="23B33253" wp14:editId="2C9E5785">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14:paraId="49DE4957" w14:textId="77777777" w:rsidR="00844F2C" w:rsidRDefault="00844F2C" w:rsidP="00844F2C">
    <w:pPr>
      <w:tabs>
        <w:tab w:val="left" w:pos="4905"/>
      </w:tabs>
      <w:rPr>
        <w:noProof/>
        <w:lang w:eastAsia="en-GB"/>
      </w:rPr>
    </w:pPr>
  </w:p>
  <w:p w14:paraId="6FB06299" w14:textId="77777777" w:rsidR="00844F2C" w:rsidRDefault="00844F2C" w:rsidP="00844F2C">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D52"/>
    <w:multiLevelType w:val="hybridMultilevel"/>
    <w:tmpl w:val="082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15:restartNumberingAfterBreak="0">
    <w:nsid w:val="404E3031"/>
    <w:multiLevelType w:val="hybridMultilevel"/>
    <w:tmpl w:val="2056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63586AA2"/>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17D6B"/>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29"/>
    <w:rsid w:val="00025880"/>
    <w:rsid w:val="00030528"/>
    <w:rsid w:val="00037E0B"/>
    <w:rsid w:val="000602C4"/>
    <w:rsid w:val="000B72F9"/>
    <w:rsid w:val="000F3079"/>
    <w:rsid w:val="001772EF"/>
    <w:rsid w:val="0019729E"/>
    <w:rsid w:val="001C020F"/>
    <w:rsid w:val="0024115E"/>
    <w:rsid w:val="00281809"/>
    <w:rsid w:val="002851E0"/>
    <w:rsid w:val="002F4D42"/>
    <w:rsid w:val="00300143"/>
    <w:rsid w:val="003355E4"/>
    <w:rsid w:val="00374657"/>
    <w:rsid w:val="003B1256"/>
    <w:rsid w:val="003C299A"/>
    <w:rsid w:val="003C6234"/>
    <w:rsid w:val="0040043B"/>
    <w:rsid w:val="00400A1A"/>
    <w:rsid w:val="00443DFB"/>
    <w:rsid w:val="004606F9"/>
    <w:rsid w:val="004654FF"/>
    <w:rsid w:val="004A73DB"/>
    <w:rsid w:val="004B31FB"/>
    <w:rsid w:val="004D1FF2"/>
    <w:rsid w:val="004E4564"/>
    <w:rsid w:val="004F2832"/>
    <w:rsid w:val="0051035B"/>
    <w:rsid w:val="00516051"/>
    <w:rsid w:val="00526F84"/>
    <w:rsid w:val="00537322"/>
    <w:rsid w:val="0054546E"/>
    <w:rsid w:val="00554BE7"/>
    <w:rsid w:val="00561829"/>
    <w:rsid w:val="00566101"/>
    <w:rsid w:val="00581A3D"/>
    <w:rsid w:val="00584A6A"/>
    <w:rsid w:val="00594611"/>
    <w:rsid w:val="005A3ABD"/>
    <w:rsid w:val="005A4483"/>
    <w:rsid w:val="005B0986"/>
    <w:rsid w:val="005B5A16"/>
    <w:rsid w:val="005B5E64"/>
    <w:rsid w:val="005D082A"/>
    <w:rsid w:val="00624C37"/>
    <w:rsid w:val="00627CEC"/>
    <w:rsid w:val="006C7FFA"/>
    <w:rsid w:val="00701E60"/>
    <w:rsid w:val="007160F1"/>
    <w:rsid w:val="00752E12"/>
    <w:rsid w:val="007628BF"/>
    <w:rsid w:val="007735BF"/>
    <w:rsid w:val="00792A25"/>
    <w:rsid w:val="00796FDC"/>
    <w:rsid w:val="007B53EF"/>
    <w:rsid w:val="007D2586"/>
    <w:rsid w:val="007D4735"/>
    <w:rsid w:val="007E2278"/>
    <w:rsid w:val="00844F2C"/>
    <w:rsid w:val="00847091"/>
    <w:rsid w:val="008947C0"/>
    <w:rsid w:val="008B1978"/>
    <w:rsid w:val="008B2800"/>
    <w:rsid w:val="008B5CAF"/>
    <w:rsid w:val="008E0C39"/>
    <w:rsid w:val="00933F91"/>
    <w:rsid w:val="009617D1"/>
    <w:rsid w:val="00981FA2"/>
    <w:rsid w:val="009F0FCF"/>
    <w:rsid w:val="00A216C0"/>
    <w:rsid w:val="00A27E42"/>
    <w:rsid w:val="00A72638"/>
    <w:rsid w:val="00A757AF"/>
    <w:rsid w:val="00AC3326"/>
    <w:rsid w:val="00AE0CFB"/>
    <w:rsid w:val="00B73662"/>
    <w:rsid w:val="00BB1655"/>
    <w:rsid w:val="00C178B6"/>
    <w:rsid w:val="00C2016C"/>
    <w:rsid w:val="00C43ACC"/>
    <w:rsid w:val="00C55F11"/>
    <w:rsid w:val="00C57C7D"/>
    <w:rsid w:val="00C92E7C"/>
    <w:rsid w:val="00CD062D"/>
    <w:rsid w:val="00D001B9"/>
    <w:rsid w:val="00D16580"/>
    <w:rsid w:val="00D2201A"/>
    <w:rsid w:val="00D31303"/>
    <w:rsid w:val="00D33F8F"/>
    <w:rsid w:val="00D422E6"/>
    <w:rsid w:val="00D50A7E"/>
    <w:rsid w:val="00D72F43"/>
    <w:rsid w:val="00D83511"/>
    <w:rsid w:val="00D91F6A"/>
    <w:rsid w:val="00D92BCE"/>
    <w:rsid w:val="00DD2D9B"/>
    <w:rsid w:val="00DF1061"/>
    <w:rsid w:val="00EB29F1"/>
    <w:rsid w:val="00EF4CAF"/>
    <w:rsid w:val="00F30832"/>
    <w:rsid w:val="00F54CFC"/>
    <w:rsid w:val="00F93DDE"/>
    <w:rsid w:val="00FC1A00"/>
    <w:rsid w:val="00FE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05A17"/>
  <w15:docId w15:val="{143977B6-4DB6-4229-856E-61AE1A6C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4F2832"/>
    <w:pPr>
      <w:ind w:left="720"/>
      <w:contextualSpacing/>
    </w:pPr>
    <w:rPr>
      <w:lang w:val="es-ES"/>
    </w:rPr>
  </w:style>
  <w:style w:type="paragraph" w:styleId="NormalWeb">
    <w:name w:val="Normal (Web)"/>
    <w:basedOn w:val="Normal"/>
    <w:uiPriority w:val="99"/>
    <w:semiHidden/>
    <w:unhideWhenUsed/>
    <w:rsid w:val="004F28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s-ES" w:eastAsia="en-GB"/>
    </w:rPr>
  </w:style>
  <w:style w:type="paragraph" w:styleId="NoSpacing">
    <w:name w:val="No Spacing"/>
    <w:uiPriority w:val="1"/>
    <w:qFormat/>
    <w:rsid w:val="004F283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s-ES"/>
    </w:rPr>
  </w:style>
  <w:style w:type="character" w:customStyle="1" w:styleId="UnresolvedMention2">
    <w:name w:val="Unresolved Mention2"/>
    <w:basedOn w:val="DefaultParagraphFont"/>
    <w:uiPriority w:val="99"/>
    <w:semiHidden/>
    <w:unhideWhenUsed/>
    <w:rsid w:val="00D50A7E"/>
    <w:rPr>
      <w:color w:val="808080"/>
      <w:shd w:val="clear" w:color="auto" w:fill="E6E6E6"/>
    </w:rPr>
  </w:style>
  <w:style w:type="paragraph" w:styleId="Revision">
    <w:name w:val="Revision"/>
    <w:hidden/>
    <w:uiPriority w:val="99"/>
    <w:semiHidden/>
    <w:rsid w:val="009617D1"/>
    <w:pPr>
      <w:pBdr>
        <w:top w:val="none" w:sz="0" w:space="0" w:color="auto"/>
        <w:left w:val="none" w:sz="0" w:space="0" w:color="auto"/>
        <w:bottom w:val="none" w:sz="0" w:space="0" w:color="auto"/>
        <w:right w:val="none" w:sz="0" w:space="0" w:color="auto"/>
        <w:between w:val="none" w:sz="0" w:space="0" w:color="auto"/>
      </w:pBdr>
    </w:pPr>
  </w:style>
  <w:style w:type="character" w:styleId="FollowedHyperlink">
    <w:name w:val="FollowedHyperlink"/>
    <w:basedOn w:val="DefaultParagraphFont"/>
    <w:uiPriority w:val="99"/>
    <w:semiHidden/>
    <w:unhideWhenUsed/>
    <w:rsid w:val="007D2586"/>
    <w:rPr>
      <w:color w:val="954F72" w:themeColor="followedHyperlink"/>
      <w:u w:val="single"/>
    </w:rPr>
  </w:style>
  <w:style w:type="character" w:customStyle="1" w:styleId="UnresolvedMention3">
    <w:name w:val="Unresolved Mention3"/>
    <w:basedOn w:val="DefaultParagraphFont"/>
    <w:uiPriority w:val="99"/>
    <w:semiHidden/>
    <w:unhideWhenUsed/>
    <w:rsid w:val="007D2586"/>
    <w:rPr>
      <w:color w:val="808080"/>
      <w:shd w:val="clear" w:color="auto" w:fill="E6E6E6"/>
    </w:rPr>
  </w:style>
  <w:style w:type="character" w:styleId="UnresolvedMention">
    <w:name w:val="Unresolved Mention"/>
    <w:basedOn w:val="DefaultParagraphFont"/>
    <w:uiPriority w:val="99"/>
    <w:semiHidden/>
    <w:unhideWhenUsed/>
    <w:rsid w:val="00792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7136">
      <w:bodyDiv w:val="1"/>
      <w:marLeft w:val="0"/>
      <w:marRight w:val="0"/>
      <w:marTop w:val="0"/>
      <w:marBottom w:val="0"/>
      <w:divBdr>
        <w:top w:val="none" w:sz="0" w:space="0" w:color="auto"/>
        <w:left w:val="none" w:sz="0" w:space="0" w:color="auto"/>
        <w:bottom w:val="none" w:sz="0" w:space="0" w:color="auto"/>
        <w:right w:val="none" w:sz="0" w:space="0" w:color="auto"/>
      </w:divBdr>
    </w:div>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k.farnell.com/fpga-power" TargetMode="External"/><Relationship Id="rId13" Type="http://schemas.openxmlformats.org/officeDocument/2006/relationships/hyperlink" Target="http://farnell.com/" TargetMode="External"/><Relationship Id="rId18" Type="http://schemas.openxmlformats.org/officeDocument/2006/relationships/hyperlink" Target="http://sg.element14.com/" TargetMode="External"/><Relationship Id="rId26"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yperlink" Target="https://www.forthings.io/wps/portal/eu/!ut/p/z1/04_Sj9CPykssy0xPLMnMz0vMAfIjo8zifRwtXT0cDYx83H0CTA0czY39DD2djY0NvI31w_Wj9KOASgxwAEcD_eDUvHg3T_2C7LxyABWheYc!/dz/d5/L0lHSkovd0RNQUZrQUVnQSEhLzROVkUvZW5fRV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www.newark.com/" TargetMode="External"/><Relationship Id="rId25" Type="http://schemas.openxmlformats.org/officeDocument/2006/relationships/hyperlink" Target="http://cpc.farnell.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uk.farnell.com/" TargetMode="External"/><Relationship Id="rId20" Type="http://schemas.openxmlformats.org/officeDocument/2006/relationships/hyperlink" Target="https://www.forthings.io/wps/portal/eu/!ut/p/z1/04_Sj9CPykssy0xPLMnMz0vMAfIjo8zifRwtXT0cDYx83H0CTA0czY39DD2djY0NvI31w_Wj9KOASgxwAEcD_eDUvPhgV_2C7LxyAAfSXcU!/dz/d5/L0lHSkovd0RNQUZrQUVnQSEhLzROVkUvZW5fSU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farnell.com/fpga-power" TargetMode="External"/><Relationship Id="rId24" Type="http://schemas.openxmlformats.org/officeDocument/2006/relationships/hyperlink" Target="https://www.forthings.io/wps/portal/eu/!ut/p/z1/04_Sj9CPykssy0xPLMnMz0vMAfIjo8zifRwtXT0cDYx83H0CTA0czY39DD2djY0NvI31w_Wj9KOASgxwAEcD_eDUvHgXb_2C7LxyADcRLl0!/dz/d5/L0lHSkovd0RNQUZrQUVnQSEhLzROVkUvZW5fU0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emierfarnell.com/" TargetMode="External"/><Relationship Id="rId23" Type="http://schemas.openxmlformats.org/officeDocument/2006/relationships/hyperlink" Target="https://www.forthings.io/wps/portal/eu/!ut/p/z1/04_Sj9CPykssy0xPLMnMz0vMAfIjo8zifRwtXT0cDYx83H0CTA0czY39DD2djY0NvI31w_Wj9KOASgxwAEcD_eDUvHg3T_2C7LxyABWheYc!/dz/d5/L0lHSkovd0RNQUZrQUVnQSEhLzROVkUvZW5fRkk!/" TargetMode="External"/><Relationship Id="rId28" Type="http://schemas.openxmlformats.org/officeDocument/2006/relationships/hyperlink" Target="mailto:hsmart@premierfarnell.com" TargetMode="External"/><Relationship Id="rId36" Type="http://schemas.openxmlformats.org/officeDocument/2006/relationships/theme" Target="theme/theme1.xml"/><Relationship Id="rId10" Type="http://schemas.openxmlformats.org/officeDocument/2006/relationships/hyperlink" Target="http://farnell.com/fpga-power" TargetMode="External"/><Relationship Id="rId19" Type="http://schemas.openxmlformats.org/officeDocument/2006/relationships/hyperlink" Target="http://www.forthings.i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k.farnell.com/fpga-power" TargetMode="External"/><Relationship Id="rId14" Type="http://schemas.openxmlformats.org/officeDocument/2006/relationships/hyperlink" Target="http://www.forthings.io/" TargetMode="External"/><Relationship Id="rId22" Type="http://schemas.openxmlformats.org/officeDocument/2006/relationships/hyperlink" Target="https://www.forthings.io/wps/portal/eu/!ut/p/z1/04_Sj9CPykssy0xPLMnMz0vMAfIjo8zifRwtXT0cDYx83H0CTA0czY39DD2djY0NvI31w_Wj9KOASgxwAEcD_eDUvHjXYP2C7LxyAHWa3BQ!/dz/d5/L0lHSkovd0RNQUZrQUVnQSEhLzROVkUvZW5fREs!/" TargetMode="External"/><Relationship Id="rId27" Type="http://schemas.openxmlformats.org/officeDocument/2006/relationships/hyperlink" Target="mailto:Freya@napierb2b.com"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A02F-B888-4388-BBC6-280A4BD0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keywords>Confidential, None, , , , , , , None,</cp:keywords>
  <cp:lastModifiedBy>Clare Nicholson</cp:lastModifiedBy>
  <cp:revision>7</cp:revision>
  <cp:lastPrinted>2018-05-03T09:21:00Z</cp:lastPrinted>
  <dcterms:created xsi:type="dcterms:W3CDTF">2018-05-02T16:48:00Z</dcterms:created>
  <dcterms:modified xsi:type="dcterms:W3CDTF">2018-05-08T07:32:00Z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25d3ea88-1782-4ba2-89b3-e77f3bcdcb21</vt:lpwstr>
  </property>
  <property fmtid="{D5CDD505-2E9C-101B-9397-08002B2CF9AE}" pid="3" name="XilinxPublication Year">
    <vt:lpwstr/>
  </property>
  <property fmtid="{D5CDD505-2E9C-101B-9397-08002B2CF9AE}" pid="4" name="XilinxVisual Markings">
    <vt:lpwstr>No</vt:lpwstr>
  </property>
  <property fmtid="{D5CDD505-2E9C-101B-9397-08002B2CF9AE}" pid="5" name="XilinxAdditional Classifications">
    <vt:lpwstr>None</vt:lpwstr>
  </property>
  <property fmtid="{D5CDD505-2E9C-101B-9397-08002B2CF9AE}" pid="6" name="XilinxDevelopment Projects">
    <vt:lpwstr/>
  </property>
  <property fmtid="{D5CDD505-2E9C-101B-9397-08002B2CF9AE}" pid="7" name="XilinxThird Party">
    <vt:lpwstr/>
  </property>
  <property fmtid="{D5CDD505-2E9C-101B-9397-08002B2CF9AE}" pid="8" name="XilinxExport Control">
    <vt:lpwstr>None</vt:lpwstr>
  </property>
  <property fmtid="{D5CDD505-2E9C-101B-9397-08002B2CF9AE}" pid="9" name="XilinxNote (Line 2)">
    <vt:lpwstr/>
  </property>
  <property fmtid="{D5CDD505-2E9C-101B-9397-08002B2CF9AE}" pid="10" name="XilinxClassification">
    <vt:lpwstr>Confidential</vt:lpwstr>
  </property>
  <property fmtid="{D5CDD505-2E9C-101B-9397-08002B2CF9AE}" pid="11" name="VisualMarkings">
    <vt:lpwstr>No</vt:lpwstr>
  </property>
  <property fmtid="{D5CDD505-2E9C-101B-9397-08002B2CF9AE}" pid="12" name="XilinxProprietary">
    <vt:lpwstr>No</vt:lpwstr>
  </property>
  <property fmtid="{D5CDD505-2E9C-101B-9397-08002B2CF9AE}" pid="13" name="AdditionalClassifications">
    <vt:lpwstr>None</vt:lpwstr>
  </property>
  <property fmtid="{D5CDD505-2E9C-101B-9397-08002B2CF9AE}" pid="14" name="ExportControl">
    <vt:lpwstr>None</vt:lpwstr>
  </property>
  <property fmtid="{D5CDD505-2E9C-101B-9397-08002B2CF9AE}" pid="15" name="ThirdParty">
    <vt:lpwstr/>
  </property>
  <property fmtid="{D5CDD505-2E9C-101B-9397-08002B2CF9AE}" pid="16" name="XilinxNote">
    <vt:lpwstr/>
  </property>
</Properties>
</file>