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F0EC3" w14:textId="3BCAF14A" w:rsidR="00CD0F9A" w:rsidRPr="009142C0" w:rsidRDefault="00977C11" w:rsidP="006D51DE">
      <w:pPr>
        <w:widowControl w:val="0"/>
        <w:spacing w:line="276" w:lineRule="auto"/>
        <w:jc w:val="center"/>
        <w:rPr>
          <w:rFonts w:ascii="Arial" w:hAnsi="Arial" w:cs="Arial"/>
          <w:b/>
          <w:sz w:val="26"/>
          <w:szCs w:val="26"/>
        </w:rPr>
      </w:pPr>
      <w:bookmarkStart w:id="0" w:name="_GoBack"/>
      <w:r w:rsidRPr="009142C0">
        <w:rPr>
          <w:rFonts w:ascii="Arial" w:hAnsi="Arial" w:cs="Arial"/>
          <w:b/>
          <w:sz w:val="26"/>
          <w:szCs w:val="26"/>
        </w:rPr>
        <w:t xml:space="preserve">Farnell </w:t>
      </w:r>
      <w:r w:rsidR="00F93B5D">
        <w:rPr>
          <w:rFonts w:ascii="Arial" w:hAnsi="Arial" w:cs="Arial"/>
          <w:b/>
          <w:sz w:val="26"/>
          <w:szCs w:val="26"/>
        </w:rPr>
        <w:t xml:space="preserve">element14 </w:t>
      </w:r>
      <w:r w:rsidRPr="009142C0">
        <w:rPr>
          <w:rFonts w:ascii="Arial" w:hAnsi="Arial" w:cs="Arial"/>
          <w:b/>
          <w:sz w:val="26"/>
          <w:szCs w:val="26"/>
        </w:rPr>
        <w:t xml:space="preserve">expands Test &amp; Measurement Product Range with </w:t>
      </w:r>
      <w:bookmarkEnd w:id="0"/>
      <w:r w:rsidRPr="009142C0">
        <w:rPr>
          <w:rFonts w:ascii="Arial" w:hAnsi="Arial" w:cs="Arial"/>
          <w:b/>
          <w:sz w:val="26"/>
          <w:szCs w:val="26"/>
        </w:rPr>
        <w:t>Additional Investment and New Products</w:t>
      </w:r>
    </w:p>
    <w:p w14:paraId="5C75EEE8" w14:textId="77777777" w:rsidR="00977C11" w:rsidRPr="009142C0" w:rsidRDefault="00977C11" w:rsidP="006D51DE">
      <w:pPr>
        <w:widowControl w:val="0"/>
        <w:spacing w:line="276" w:lineRule="auto"/>
        <w:jc w:val="center"/>
        <w:rPr>
          <w:rFonts w:ascii="Arial" w:hAnsi="Arial" w:cs="Arial"/>
          <w:b/>
          <w:sz w:val="26"/>
          <w:szCs w:val="26"/>
        </w:rPr>
      </w:pPr>
    </w:p>
    <w:p w14:paraId="335B3099" w14:textId="35F71A69" w:rsidR="00977C11" w:rsidRPr="009142C0" w:rsidRDefault="00441E8A" w:rsidP="00977C11">
      <w:pPr>
        <w:widowControl w:val="0"/>
        <w:spacing w:line="276" w:lineRule="auto"/>
        <w:rPr>
          <w:rFonts w:ascii="Arial" w:hAnsi="Arial" w:cs="Arial"/>
          <w:sz w:val="20"/>
          <w:szCs w:val="20"/>
        </w:rPr>
      </w:pPr>
      <w:r w:rsidRPr="009142C0">
        <w:rPr>
          <w:rFonts w:ascii="Arial" w:hAnsi="Arial" w:cs="Arial"/>
          <w:b/>
          <w:sz w:val="20"/>
          <w:szCs w:val="20"/>
        </w:rPr>
        <w:t>Leeds, United Kingdom</w:t>
      </w:r>
      <w:r w:rsidR="001053B2" w:rsidRPr="009142C0">
        <w:rPr>
          <w:rFonts w:ascii="Arial" w:hAnsi="Arial" w:cs="Arial"/>
          <w:b/>
          <w:sz w:val="20"/>
          <w:szCs w:val="20"/>
        </w:rPr>
        <w:t xml:space="preserve">, </w:t>
      </w:r>
      <w:r w:rsidR="00A50D83" w:rsidRPr="009142C0">
        <w:rPr>
          <w:rFonts w:ascii="Arial" w:hAnsi="Arial" w:cs="Arial"/>
          <w:b/>
          <w:sz w:val="20"/>
          <w:szCs w:val="20"/>
        </w:rPr>
        <w:t>20</w:t>
      </w:r>
      <w:r w:rsidR="0014671D" w:rsidRPr="009142C0">
        <w:rPr>
          <w:rFonts w:ascii="Arial" w:hAnsi="Arial" w:cs="Arial"/>
          <w:b/>
          <w:sz w:val="20"/>
          <w:szCs w:val="20"/>
          <w:vertAlign w:val="superscript"/>
        </w:rPr>
        <w:t>th</w:t>
      </w:r>
      <w:r w:rsidR="0014671D" w:rsidRPr="009142C0">
        <w:rPr>
          <w:rFonts w:ascii="Arial" w:hAnsi="Arial" w:cs="Arial"/>
          <w:b/>
          <w:sz w:val="20"/>
          <w:szCs w:val="20"/>
        </w:rPr>
        <w:t xml:space="preserve"> </w:t>
      </w:r>
      <w:r w:rsidR="001053B2" w:rsidRPr="009142C0">
        <w:rPr>
          <w:rFonts w:ascii="Arial" w:hAnsi="Arial" w:cs="Arial"/>
          <w:b/>
          <w:sz w:val="20"/>
          <w:szCs w:val="20"/>
        </w:rPr>
        <w:t>June</w:t>
      </w:r>
      <w:r w:rsidR="006D51DE" w:rsidRPr="009142C0">
        <w:rPr>
          <w:rFonts w:ascii="Arial" w:hAnsi="Arial" w:cs="Arial"/>
          <w:b/>
          <w:sz w:val="20"/>
          <w:szCs w:val="20"/>
        </w:rPr>
        <w:t xml:space="preserve"> 2018 </w:t>
      </w:r>
      <w:r w:rsidR="006D51DE" w:rsidRPr="009142C0">
        <w:rPr>
          <w:rFonts w:ascii="Arial" w:hAnsi="Arial" w:cs="Arial"/>
          <w:sz w:val="20"/>
          <w:szCs w:val="20"/>
        </w:rPr>
        <w:t>–</w:t>
      </w:r>
      <w:hyperlink r:id="rId8" w:history="1">
        <w:r w:rsidR="00F93B5D" w:rsidRPr="00F93B5D">
          <w:rPr>
            <w:rStyle w:val="Hyperlink"/>
            <w:rFonts w:ascii="Arial" w:hAnsi="Arial" w:cs="Arial"/>
            <w:color w:val="0000FF"/>
            <w:sz w:val="20"/>
            <w:szCs w:val="20"/>
          </w:rPr>
          <w:t>Farnell element14</w:t>
        </w:r>
      </w:hyperlink>
      <w:r w:rsidR="006D51DE" w:rsidRPr="009142C0">
        <w:rPr>
          <w:rFonts w:ascii="Arial" w:hAnsi="Arial" w:cs="Arial"/>
          <w:sz w:val="20"/>
          <w:szCs w:val="20"/>
        </w:rPr>
        <w:t xml:space="preserve">, </w:t>
      </w:r>
      <w:r w:rsidR="00977C11" w:rsidRPr="009142C0">
        <w:rPr>
          <w:rFonts w:ascii="Arial" w:hAnsi="Arial" w:cs="Arial"/>
          <w:sz w:val="20"/>
          <w:szCs w:val="20"/>
        </w:rPr>
        <w:t xml:space="preserve">the Development Distributor, has expanded its Test &amp; Measurement product range with additional investment in its </w:t>
      </w:r>
      <w:proofErr w:type="spellStart"/>
      <w:r w:rsidR="00977C11" w:rsidRPr="009142C0">
        <w:rPr>
          <w:rFonts w:ascii="Arial" w:hAnsi="Arial" w:cs="Arial"/>
          <w:sz w:val="20"/>
          <w:szCs w:val="20"/>
        </w:rPr>
        <w:t>linecard</w:t>
      </w:r>
      <w:proofErr w:type="spellEnd"/>
      <w:r w:rsidR="00977C11" w:rsidRPr="009142C0">
        <w:rPr>
          <w:rFonts w:ascii="Arial" w:hAnsi="Arial" w:cs="Arial"/>
          <w:sz w:val="20"/>
          <w:szCs w:val="20"/>
        </w:rPr>
        <w:t xml:space="preserve"> including new products from Weller, Tektronix and Rohde &amp; Schwarz. The new products include the </w:t>
      </w:r>
      <w:hyperlink r:id="rId9" w:history="1">
        <w:r w:rsidR="00977C11" w:rsidRPr="009142C0">
          <w:rPr>
            <w:rStyle w:val="Hyperlink"/>
            <w:rFonts w:ascii="Arial" w:hAnsi="Arial" w:cs="Arial"/>
            <w:color w:val="0000FF"/>
            <w:sz w:val="20"/>
            <w:szCs w:val="20"/>
          </w:rPr>
          <w:t>Weller WE 1010</w:t>
        </w:r>
      </w:hyperlink>
      <w:r w:rsidR="00977C11" w:rsidRPr="009142C0">
        <w:rPr>
          <w:rFonts w:ascii="Arial" w:hAnsi="Arial" w:cs="Arial"/>
          <w:sz w:val="20"/>
          <w:szCs w:val="20"/>
        </w:rPr>
        <w:t xml:space="preserve"> soldering station, the </w:t>
      </w:r>
      <w:hyperlink r:id="rId10" w:history="1">
        <w:r w:rsidR="00977C11" w:rsidRPr="009142C0">
          <w:rPr>
            <w:rStyle w:val="Hyperlink"/>
            <w:rFonts w:ascii="Arial" w:hAnsi="Arial" w:cs="Arial"/>
            <w:color w:val="0000FF"/>
            <w:sz w:val="20"/>
            <w:szCs w:val="20"/>
          </w:rPr>
          <w:t>Tektronix DAQ6510</w:t>
        </w:r>
      </w:hyperlink>
      <w:r w:rsidR="00977C11" w:rsidRPr="009142C0">
        <w:rPr>
          <w:rFonts w:ascii="Arial" w:hAnsi="Arial" w:cs="Arial"/>
          <w:sz w:val="20"/>
          <w:szCs w:val="20"/>
        </w:rPr>
        <w:t xml:space="preserve"> data-acquisition and logging </w:t>
      </w:r>
      <w:proofErr w:type="spellStart"/>
      <w:r w:rsidR="00977C11" w:rsidRPr="009142C0">
        <w:rPr>
          <w:rFonts w:ascii="Arial" w:hAnsi="Arial" w:cs="Arial"/>
          <w:sz w:val="20"/>
          <w:szCs w:val="20"/>
        </w:rPr>
        <w:t>multimeter</w:t>
      </w:r>
      <w:proofErr w:type="spellEnd"/>
      <w:r w:rsidR="00977C11" w:rsidRPr="009142C0">
        <w:rPr>
          <w:rFonts w:ascii="Arial" w:hAnsi="Arial" w:cs="Arial"/>
          <w:sz w:val="20"/>
          <w:szCs w:val="20"/>
        </w:rPr>
        <w:t xml:space="preserve"> system, the </w:t>
      </w:r>
      <w:hyperlink r:id="rId11" w:history="1">
        <w:r w:rsidR="00977C11" w:rsidRPr="009142C0">
          <w:rPr>
            <w:rStyle w:val="Hyperlink"/>
            <w:rFonts w:ascii="Arial" w:hAnsi="Arial" w:cs="Arial"/>
            <w:color w:val="0000FF"/>
            <w:sz w:val="20"/>
            <w:szCs w:val="20"/>
          </w:rPr>
          <w:t>Rohde &amp; Schwarz R&amp;S® FPC</w:t>
        </w:r>
      </w:hyperlink>
      <w:r w:rsidR="00977C11" w:rsidRPr="009142C0">
        <w:rPr>
          <w:rFonts w:ascii="Arial" w:hAnsi="Arial" w:cs="Arial"/>
          <w:sz w:val="20"/>
          <w:szCs w:val="20"/>
        </w:rPr>
        <w:t xml:space="preserve"> spectrum analyser, and the </w:t>
      </w:r>
      <w:hyperlink r:id="rId12" w:history="1">
        <w:r w:rsidR="00977C11" w:rsidRPr="009142C0">
          <w:rPr>
            <w:rStyle w:val="Hyperlink"/>
            <w:rFonts w:ascii="Arial" w:hAnsi="Arial" w:cs="Arial"/>
            <w:color w:val="0000FF"/>
            <w:sz w:val="20"/>
            <w:szCs w:val="20"/>
          </w:rPr>
          <w:t>R&amp;S® HMP</w:t>
        </w:r>
      </w:hyperlink>
      <w:r w:rsidR="00977C11" w:rsidRPr="009142C0">
        <w:rPr>
          <w:rFonts w:ascii="Arial" w:hAnsi="Arial" w:cs="Arial"/>
          <w:sz w:val="20"/>
          <w:szCs w:val="20"/>
        </w:rPr>
        <w:t xml:space="preserve"> power-supply family.</w:t>
      </w:r>
    </w:p>
    <w:p w14:paraId="4C6420CB" w14:textId="77777777" w:rsidR="00977C11" w:rsidRPr="009142C0" w:rsidRDefault="00977C11" w:rsidP="00977C11">
      <w:pPr>
        <w:widowControl w:val="0"/>
        <w:spacing w:line="276" w:lineRule="auto"/>
        <w:rPr>
          <w:rFonts w:ascii="Arial" w:hAnsi="Arial" w:cs="Arial"/>
          <w:sz w:val="20"/>
          <w:szCs w:val="20"/>
        </w:rPr>
      </w:pPr>
    </w:p>
    <w:p w14:paraId="384AE2F7" w14:textId="295DA98B" w:rsidR="00977C11" w:rsidRPr="009142C0" w:rsidRDefault="00977C11" w:rsidP="00977C11">
      <w:pPr>
        <w:widowControl w:val="0"/>
        <w:spacing w:line="276" w:lineRule="auto"/>
        <w:rPr>
          <w:rFonts w:ascii="Arial" w:hAnsi="Arial" w:cs="Arial"/>
          <w:sz w:val="20"/>
          <w:szCs w:val="20"/>
        </w:rPr>
      </w:pPr>
      <w:r w:rsidRPr="009142C0">
        <w:rPr>
          <w:rFonts w:ascii="Arial" w:hAnsi="Arial" w:cs="Arial"/>
          <w:sz w:val="20"/>
          <w:szCs w:val="20"/>
        </w:rPr>
        <w:t xml:space="preserve">Farnell </w:t>
      </w:r>
      <w:r w:rsidR="00F93B5D">
        <w:rPr>
          <w:rFonts w:ascii="Arial" w:hAnsi="Arial" w:cs="Arial"/>
          <w:sz w:val="20"/>
          <w:szCs w:val="20"/>
        </w:rPr>
        <w:t xml:space="preserve">element14 </w:t>
      </w:r>
      <w:r w:rsidRPr="009142C0">
        <w:rPr>
          <w:rFonts w:ascii="Arial" w:hAnsi="Arial" w:cs="Arial"/>
          <w:sz w:val="20"/>
          <w:szCs w:val="20"/>
        </w:rPr>
        <w:t xml:space="preserve">has invested </w:t>
      </w:r>
      <w:r w:rsidR="006C4A6B" w:rsidRPr="009142C0">
        <w:rPr>
          <w:rFonts w:ascii="Arial" w:hAnsi="Arial" w:cs="Arial"/>
          <w:sz w:val="20"/>
          <w:szCs w:val="20"/>
        </w:rPr>
        <w:t>significantly</w:t>
      </w:r>
      <w:r w:rsidRPr="009142C0">
        <w:rPr>
          <w:rFonts w:ascii="Arial" w:hAnsi="Arial" w:cs="Arial"/>
          <w:sz w:val="20"/>
          <w:szCs w:val="20"/>
        </w:rPr>
        <w:t xml:space="preserve"> in expanding its </w:t>
      </w:r>
      <w:proofErr w:type="spellStart"/>
      <w:r w:rsidRPr="009142C0">
        <w:rPr>
          <w:rFonts w:ascii="Arial" w:hAnsi="Arial" w:cs="Arial"/>
          <w:sz w:val="20"/>
          <w:szCs w:val="20"/>
        </w:rPr>
        <w:t>linecard</w:t>
      </w:r>
      <w:proofErr w:type="spellEnd"/>
      <w:r w:rsidRPr="009142C0">
        <w:rPr>
          <w:rFonts w:ascii="Arial" w:hAnsi="Arial" w:cs="Arial"/>
          <w:sz w:val="20"/>
          <w:szCs w:val="20"/>
        </w:rPr>
        <w:t xml:space="preserve"> and inventory over the past 12 months, and now has the broadest range of in-stock test &amp; measurement products in the high service distribution market. “The investment in inventory that </w:t>
      </w:r>
      <w:r w:rsidR="00F265EC" w:rsidRPr="009142C0">
        <w:rPr>
          <w:rFonts w:ascii="Arial" w:hAnsi="Arial" w:cs="Arial"/>
          <w:sz w:val="20"/>
          <w:szCs w:val="20"/>
        </w:rPr>
        <w:t>we have</w:t>
      </w:r>
      <w:r w:rsidRPr="009142C0">
        <w:rPr>
          <w:rFonts w:ascii="Arial" w:hAnsi="Arial" w:cs="Arial"/>
          <w:sz w:val="20"/>
          <w:szCs w:val="20"/>
        </w:rPr>
        <w:t xml:space="preserve"> made over the last year has significantly strengthened the brea</w:t>
      </w:r>
      <w:r w:rsidR="00F265EC" w:rsidRPr="009142C0">
        <w:rPr>
          <w:rFonts w:ascii="Arial" w:hAnsi="Arial" w:cs="Arial"/>
          <w:sz w:val="20"/>
          <w:szCs w:val="20"/>
        </w:rPr>
        <w:t>dth and depth of our</w:t>
      </w:r>
      <w:r w:rsidRPr="009142C0">
        <w:rPr>
          <w:rFonts w:ascii="Arial" w:hAnsi="Arial" w:cs="Arial"/>
          <w:sz w:val="20"/>
          <w:szCs w:val="20"/>
        </w:rPr>
        <w:t xml:space="preserve"> </w:t>
      </w:r>
      <w:proofErr w:type="spellStart"/>
      <w:r w:rsidRPr="009142C0">
        <w:rPr>
          <w:rFonts w:ascii="Arial" w:hAnsi="Arial" w:cs="Arial"/>
          <w:sz w:val="20"/>
          <w:szCs w:val="20"/>
        </w:rPr>
        <w:t>linecard</w:t>
      </w:r>
      <w:proofErr w:type="spellEnd"/>
      <w:r w:rsidRPr="009142C0">
        <w:rPr>
          <w:rFonts w:ascii="Arial" w:hAnsi="Arial" w:cs="Arial"/>
          <w:sz w:val="20"/>
          <w:szCs w:val="20"/>
        </w:rPr>
        <w:t xml:space="preserve">”, says </w:t>
      </w:r>
      <w:r w:rsidRPr="009142C0">
        <w:rPr>
          <w:rFonts w:ascii="Arial" w:hAnsi="Arial" w:cs="Arial"/>
          <w:b/>
          <w:sz w:val="20"/>
          <w:szCs w:val="20"/>
        </w:rPr>
        <w:t>James McGregor, Head of Test and Tools at Premier Farnell and Farnell element14</w:t>
      </w:r>
      <w:r w:rsidRPr="009142C0">
        <w:rPr>
          <w:rFonts w:ascii="Arial" w:hAnsi="Arial" w:cs="Arial"/>
          <w:sz w:val="20"/>
          <w:szCs w:val="20"/>
        </w:rPr>
        <w:t>: “Our range of test &amp; measurement equipment now embraces everything from high-value products for cost-conscious engineers and educators to top-of-the-line professional equipment.”</w:t>
      </w:r>
    </w:p>
    <w:p w14:paraId="2BF1E1B1" w14:textId="77777777" w:rsidR="00F917F0" w:rsidRPr="009142C0" w:rsidRDefault="00F917F0" w:rsidP="00977C11">
      <w:pPr>
        <w:widowControl w:val="0"/>
        <w:spacing w:line="276" w:lineRule="auto"/>
        <w:rPr>
          <w:rFonts w:ascii="Arial" w:hAnsi="Arial" w:cs="Arial"/>
          <w:sz w:val="20"/>
          <w:szCs w:val="20"/>
        </w:rPr>
      </w:pPr>
    </w:p>
    <w:p w14:paraId="796C1379" w14:textId="77777777" w:rsidR="00F917F0" w:rsidRDefault="00F917F0" w:rsidP="00977C11">
      <w:pPr>
        <w:widowControl w:val="0"/>
        <w:spacing w:line="276" w:lineRule="auto"/>
        <w:rPr>
          <w:rFonts w:ascii="Arial" w:hAnsi="Arial" w:cs="Arial"/>
          <w:sz w:val="20"/>
          <w:szCs w:val="20"/>
        </w:rPr>
      </w:pPr>
      <w:r w:rsidRPr="009142C0">
        <w:rPr>
          <w:rFonts w:ascii="Arial" w:hAnsi="Arial" w:cs="Arial"/>
          <w:sz w:val="20"/>
          <w:szCs w:val="20"/>
        </w:rPr>
        <w:t>New products recently add</w:t>
      </w:r>
      <w:r w:rsidR="00B317AD" w:rsidRPr="009142C0">
        <w:rPr>
          <w:rFonts w:ascii="Arial" w:hAnsi="Arial" w:cs="Arial"/>
          <w:sz w:val="20"/>
          <w:szCs w:val="20"/>
        </w:rPr>
        <w:t>ed</w:t>
      </w:r>
      <w:r w:rsidRPr="009142C0">
        <w:rPr>
          <w:rFonts w:ascii="Arial" w:hAnsi="Arial" w:cs="Arial"/>
          <w:sz w:val="20"/>
          <w:szCs w:val="20"/>
        </w:rPr>
        <w:t xml:space="preserve"> to Farnell element14’s range include:</w:t>
      </w:r>
    </w:p>
    <w:p w14:paraId="4233F06F" w14:textId="77777777" w:rsidR="00977C11" w:rsidRPr="000D17CD" w:rsidRDefault="00977C11" w:rsidP="000D17CD">
      <w:pPr>
        <w:spacing w:line="276" w:lineRule="auto"/>
      </w:pPr>
    </w:p>
    <w:p w14:paraId="5D9BA651" w14:textId="4FB0F248" w:rsidR="006C4A6B" w:rsidRPr="00053EEC" w:rsidRDefault="00F93B5D" w:rsidP="006C4A6B">
      <w:pPr>
        <w:pStyle w:val="ListParagraph"/>
        <w:numPr>
          <w:ilvl w:val="0"/>
          <w:numId w:val="12"/>
        </w:numPr>
        <w:pBdr>
          <w:top w:val="nil"/>
          <w:left w:val="nil"/>
          <w:bottom w:val="nil"/>
          <w:right w:val="nil"/>
          <w:between w:val="nil"/>
        </w:pBdr>
        <w:spacing w:line="276" w:lineRule="auto"/>
        <w:rPr>
          <w:rFonts w:ascii="Arial" w:hAnsi="Arial" w:cs="Arial"/>
          <w:sz w:val="20"/>
          <w:szCs w:val="20"/>
        </w:rPr>
      </w:pPr>
      <w:hyperlink r:id="rId13" w:history="1">
        <w:r w:rsidR="006C4A6B" w:rsidRPr="00E64191">
          <w:rPr>
            <w:rStyle w:val="Hyperlink"/>
            <w:rFonts w:ascii="Arial" w:hAnsi="Arial" w:cs="Arial"/>
            <w:b/>
            <w:bCs/>
            <w:color w:val="0000FF"/>
            <w:sz w:val="20"/>
            <w:szCs w:val="20"/>
          </w:rPr>
          <w:t>Weller WE 1010 soldering station</w:t>
        </w:r>
      </w:hyperlink>
      <w:r w:rsidR="006C4A6B" w:rsidRPr="00053EEC">
        <w:rPr>
          <w:rFonts w:ascii="Arial" w:hAnsi="Arial" w:cs="Arial"/>
          <w:b/>
          <w:bCs/>
          <w:sz w:val="20"/>
          <w:szCs w:val="20"/>
        </w:rPr>
        <w:t xml:space="preserve">: </w:t>
      </w:r>
      <w:r w:rsidR="006C4A6B" w:rsidRPr="00053EEC">
        <w:rPr>
          <w:rFonts w:ascii="Arial" w:hAnsi="Arial" w:cs="Arial"/>
          <w:sz w:val="20"/>
          <w:szCs w:val="20"/>
        </w:rPr>
        <w:t>The dig</w:t>
      </w:r>
      <w:r w:rsidR="00D37524">
        <w:rPr>
          <w:rFonts w:ascii="Arial" w:hAnsi="Arial" w:cs="Arial"/>
          <w:sz w:val="20"/>
          <w:szCs w:val="20"/>
        </w:rPr>
        <w:t xml:space="preserve">ital 70W soldering stations is </w:t>
      </w:r>
      <w:r w:rsidR="006C4A6B" w:rsidRPr="00053EEC">
        <w:rPr>
          <w:rFonts w:ascii="Arial" w:hAnsi="Arial" w:cs="Arial"/>
          <w:bCs/>
          <w:sz w:val="20"/>
          <w:szCs w:val="20"/>
        </w:rPr>
        <w:t>40% more</w:t>
      </w:r>
      <w:r w:rsidR="006C4A6B" w:rsidRPr="00053EEC">
        <w:rPr>
          <w:rFonts w:ascii="Arial" w:hAnsi="Arial" w:cs="Arial"/>
          <w:b/>
          <w:bCs/>
          <w:sz w:val="20"/>
          <w:szCs w:val="20"/>
        </w:rPr>
        <w:t xml:space="preserve"> </w:t>
      </w:r>
      <w:r w:rsidR="006C4A6B" w:rsidRPr="00053EEC">
        <w:rPr>
          <w:rFonts w:ascii="Arial" w:hAnsi="Arial" w:cs="Arial"/>
          <w:bCs/>
          <w:sz w:val="20"/>
          <w:szCs w:val="20"/>
        </w:rPr>
        <w:t>powerful</w:t>
      </w:r>
      <w:r w:rsidR="006C4A6B" w:rsidRPr="00053EEC">
        <w:rPr>
          <w:rFonts w:ascii="Arial" w:hAnsi="Arial" w:cs="Arial"/>
          <w:b/>
          <w:bCs/>
          <w:sz w:val="20"/>
          <w:szCs w:val="20"/>
        </w:rPr>
        <w:t xml:space="preserve"> </w:t>
      </w:r>
      <w:r w:rsidR="006C4A6B" w:rsidRPr="00053EEC">
        <w:rPr>
          <w:rFonts w:ascii="Arial" w:hAnsi="Arial" w:cs="Arial"/>
          <w:sz w:val="20"/>
          <w:szCs w:val="20"/>
        </w:rPr>
        <w:t xml:space="preserve">than competitive stations in the market. This allows the iron to heat up faster and to provide a faster recovery time to get the job done quicker with more efficiency and precision. This station is developed especially for educational, and consumer applications as well as entry level professional. It has many of the software features of professional workstations, and is easy and economical to use. Full details are available </w:t>
      </w:r>
      <w:hyperlink r:id="rId14" w:history="1">
        <w:r w:rsidR="006C4A6B" w:rsidRPr="00E64191">
          <w:rPr>
            <w:rStyle w:val="Hyperlink"/>
            <w:rFonts w:ascii="Arial" w:hAnsi="Arial" w:cs="Arial"/>
            <w:color w:val="0000FF"/>
            <w:sz w:val="20"/>
            <w:szCs w:val="20"/>
          </w:rPr>
          <w:t>here</w:t>
        </w:r>
      </w:hyperlink>
    </w:p>
    <w:p w14:paraId="37486305" w14:textId="3A3B802C" w:rsidR="006C4A6B" w:rsidRPr="00E64191" w:rsidRDefault="00F93B5D" w:rsidP="006C4A6B">
      <w:pPr>
        <w:pStyle w:val="ListParagraph"/>
        <w:numPr>
          <w:ilvl w:val="0"/>
          <w:numId w:val="12"/>
        </w:numPr>
        <w:pBdr>
          <w:top w:val="nil"/>
          <w:left w:val="nil"/>
          <w:bottom w:val="nil"/>
          <w:right w:val="nil"/>
          <w:between w:val="nil"/>
        </w:pBdr>
        <w:spacing w:line="276" w:lineRule="auto"/>
        <w:rPr>
          <w:rFonts w:ascii="Arial" w:hAnsi="Arial" w:cs="Arial"/>
          <w:color w:val="0000FF"/>
          <w:sz w:val="20"/>
          <w:szCs w:val="20"/>
        </w:rPr>
      </w:pPr>
      <w:hyperlink r:id="rId15" w:history="1">
        <w:r w:rsidR="006C4A6B" w:rsidRPr="00E64191">
          <w:rPr>
            <w:rStyle w:val="Hyperlink"/>
            <w:rFonts w:ascii="Arial" w:hAnsi="Arial" w:cs="Arial"/>
            <w:b/>
            <w:color w:val="0000FF"/>
            <w:sz w:val="20"/>
            <w:szCs w:val="20"/>
          </w:rPr>
          <w:t>Keithley DAQ6510 data acquisition and logging multimeter system</w:t>
        </w:r>
      </w:hyperlink>
      <w:r w:rsidR="000D17CD">
        <w:rPr>
          <w:rFonts w:ascii="Arial" w:hAnsi="Arial" w:cs="Arial"/>
          <w:b/>
          <w:sz w:val="20"/>
          <w:szCs w:val="20"/>
        </w:rPr>
        <w:t>*</w:t>
      </w:r>
      <w:r w:rsidR="006C4A6B" w:rsidRPr="00053EEC">
        <w:rPr>
          <w:rFonts w:ascii="Arial" w:hAnsi="Arial" w:cs="Arial"/>
          <w:b/>
          <w:sz w:val="20"/>
          <w:szCs w:val="20"/>
        </w:rPr>
        <w:t xml:space="preserve">: </w:t>
      </w:r>
      <w:r w:rsidR="006C4A6B" w:rsidRPr="00053EEC">
        <w:rPr>
          <w:rFonts w:ascii="Arial" w:hAnsi="Arial" w:cs="Arial"/>
          <w:sz w:val="20"/>
          <w:szCs w:val="20"/>
        </w:rPr>
        <w:t xml:space="preserve">A precision data acquisition and logging system that creates a new level of simplicity compared with the often-complicated configuration and control found in many stand-alone solutions. With 12 plug-in switching and control modules and two module slots, users can build test systems that can measure or control up to 80 devices under test in a multiplexing configuration. Two 6 × 8 matrix modules provide a total of 96 </w:t>
      </w:r>
      <w:proofErr w:type="spellStart"/>
      <w:r w:rsidR="006C4A6B" w:rsidRPr="00053EEC">
        <w:rPr>
          <w:rFonts w:ascii="Arial" w:hAnsi="Arial" w:cs="Arial"/>
          <w:sz w:val="20"/>
          <w:szCs w:val="20"/>
        </w:rPr>
        <w:t>crosspoints</w:t>
      </w:r>
      <w:proofErr w:type="spellEnd"/>
      <w:r w:rsidR="006C4A6B" w:rsidRPr="00053EEC">
        <w:rPr>
          <w:rFonts w:ascii="Arial" w:hAnsi="Arial" w:cs="Arial"/>
          <w:sz w:val="20"/>
          <w:szCs w:val="20"/>
        </w:rPr>
        <w:t xml:space="preserve"> allowing the test of one or multiple ICs. For high-volume production testing, a solid-state multiplexer module is available to </w:t>
      </w:r>
      <w:proofErr w:type="spellStart"/>
      <w:r w:rsidR="006C4A6B" w:rsidRPr="00053EEC">
        <w:rPr>
          <w:rFonts w:ascii="Arial" w:hAnsi="Arial" w:cs="Arial"/>
          <w:sz w:val="20"/>
          <w:szCs w:val="20"/>
        </w:rPr>
        <w:t>maximise</w:t>
      </w:r>
      <w:proofErr w:type="spellEnd"/>
      <w:r w:rsidR="006C4A6B" w:rsidRPr="00053EEC">
        <w:rPr>
          <w:rFonts w:ascii="Arial" w:hAnsi="Arial" w:cs="Arial"/>
          <w:sz w:val="20"/>
          <w:szCs w:val="20"/>
        </w:rPr>
        <w:t xml:space="preserve"> throughput with 800 channels/s scanning speed and </w:t>
      </w:r>
      <w:proofErr w:type="spellStart"/>
      <w:r w:rsidR="006C4A6B" w:rsidRPr="00053EEC">
        <w:rPr>
          <w:rFonts w:ascii="Arial" w:hAnsi="Arial" w:cs="Arial"/>
          <w:sz w:val="20"/>
          <w:szCs w:val="20"/>
        </w:rPr>
        <w:t>minimise</w:t>
      </w:r>
      <w:proofErr w:type="spellEnd"/>
      <w:r w:rsidR="006C4A6B" w:rsidRPr="00053EEC">
        <w:rPr>
          <w:rFonts w:ascii="Arial" w:hAnsi="Arial" w:cs="Arial"/>
          <w:sz w:val="20"/>
          <w:szCs w:val="20"/>
        </w:rPr>
        <w:t xml:space="preserve"> downtime.  The large 5-inch (12.7 cm) multitouch display guides users through set-up, data </w:t>
      </w:r>
      <w:proofErr w:type="spellStart"/>
      <w:r w:rsidR="006C4A6B" w:rsidRPr="00053EEC">
        <w:rPr>
          <w:rFonts w:ascii="Arial" w:hAnsi="Arial" w:cs="Arial"/>
          <w:sz w:val="20"/>
          <w:szCs w:val="20"/>
        </w:rPr>
        <w:t>visualisation</w:t>
      </w:r>
      <w:proofErr w:type="spellEnd"/>
      <w:r w:rsidR="006C4A6B" w:rsidRPr="00053EEC">
        <w:rPr>
          <w:rFonts w:ascii="Arial" w:hAnsi="Arial" w:cs="Arial"/>
          <w:sz w:val="20"/>
          <w:szCs w:val="20"/>
        </w:rPr>
        <w:t xml:space="preserve"> and analysis, removing the necessity of a PC and custom software for many applications. For users who prefer or require a PC, a complement of IVI and </w:t>
      </w:r>
      <w:proofErr w:type="spellStart"/>
      <w:r w:rsidR="006C4A6B" w:rsidRPr="00053EEC">
        <w:rPr>
          <w:rFonts w:ascii="Arial" w:hAnsi="Arial" w:cs="Arial"/>
          <w:sz w:val="20"/>
          <w:szCs w:val="20"/>
        </w:rPr>
        <w:t>Labview</w:t>
      </w:r>
      <w:proofErr w:type="spellEnd"/>
      <w:r w:rsidR="006C4A6B" w:rsidRPr="00053EEC">
        <w:rPr>
          <w:rFonts w:ascii="Arial" w:hAnsi="Arial" w:cs="Arial"/>
          <w:sz w:val="20"/>
          <w:szCs w:val="20"/>
        </w:rPr>
        <w:t xml:space="preserve"> drivers and the Keithley </w:t>
      </w:r>
      <w:proofErr w:type="spellStart"/>
      <w:r w:rsidR="006C4A6B" w:rsidRPr="00053EEC">
        <w:rPr>
          <w:rFonts w:ascii="Arial" w:hAnsi="Arial" w:cs="Arial"/>
          <w:sz w:val="20"/>
          <w:szCs w:val="20"/>
        </w:rPr>
        <w:t>KickStart</w:t>
      </w:r>
      <w:proofErr w:type="spellEnd"/>
      <w:r w:rsidR="006C4A6B" w:rsidRPr="00053EEC">
        <w:rPr>
          <w:rFonts w:ascii="Arial" w:hAnsi="Arial" w:cs="Arial"/>
          <w:sz w:val="20"/>
          <w:szCs w:val="20"/>
        </w:rPr>
        <w:t xml:space="preserve"> instrument control software are available.  Full details are available </w:t>
      </w:r>
      <w:hyperlink r:id="rId16" w:history="1">
        <w:r w:rsidR="006C4A6B" w:rsidRPr="00E64191">
          <w:rPr>
            <w:rStyle w:val="Hyperlink"/>
            <w:rFonts w:ascii="Arial" w:hAnsi="Arial" w:cs="Arial"/>
            <w:color w:val="0000FF"/>
            <w:sz w:val="20"/>
            <w:szCs w:val="20"/>
          </w:rPr>
          <w:t>here</w:t>
        </w:r>
      </w:hyperlink>
      <w:r w:rsidR="006C4A6B" w:rsidRPr="00E64191">
        <w:rPr>
          <w:rFonts w:ascii="Arial" w:hAnsi="Arial" w:cs="Arial"/>
          <w:color w:val="0000FF"/>
          <w:sz w:val="20"/>
          <w:szCs w:val="20"/>
        </w:rPr>
        <w:t>.</w:t>
      </w:r>
    </w:p>
    <w:p w14:paraId="6F0B7860" w14:textId="7BC3277B" w:rsidR="006C4A6B" w:rsidRPr="00053EEC" w:rsidRDefault="00F93B5D" w:rsidP="006C4A6B">
      <w:pPr>
        <w:pStyle w:val="ListParagraph"/>
        <w:numPr>
          <w:ilvl w:val="0"/>
          <w:numId w:val="12"/>
        </w:numPr>
        <w:pBdr>
          <w:top w:val="nil"/>
          <w:left w:val="nil"/>
          <w:bottom w:val="nil"/>
          <w:right w:val="nil"/>
          <w:between w:val="nil"/>
        </w:pBdr>
        <w:spacing w:line="276" w:lineRule="auto"/>
        <w:rPr>
          <w:rFonts w:ascii="Arial" w:hAnsi="Arial" w:cs="Arial"/>
          <w:sz w:val="20"/>
          <w:szCs w:val="20"/>
        </w:rPr>
      </w:pPr>
      <w:hyperlink r:id="rId17" w:history="1">
        <w:r w:rsidR="006C4A6B" w:rsidRPr="00E64191">
          <w:rPr>
            <w:rStyle w:val="Hyperlink"/>
            <w:rFonts w:ascii="Arial" w:hAnsi="Arial" w:cs="Arial"/>
            <w:b/>
            <w:color w:val="0000FF"/>
            <w:sz w:val="20"/>
            <w:szCs w:val="20"/>
          </w:rPr>
          <w:t xml:space="preserve">Rohde &amp; Schwarz ® FPC spectrum </w:t>
        </w:r>
        <w:proofErr w:type="spellStart"/>
        <w:r w:rsidR="006C4A6B" w:rsidRPr="00E64191">
          <w:rPr>
            <w:rStyle w:val="Hyperlink"/>
            <w:rFonts w:ascii="Arial" w:hAnsi="Arial" w:cs="Arial"/>
            <w:b/>
            <w:color w:val="0000FF"/>
            <w:sz w:val="20"/>
            <w:szCs w:val="20"/>
          </w:rPr>
          <w:t>analyse</w:t>
        </w:r>
        <w:r w:rsidR="006C4A6B" w:rsidRPr="00053EEC">
          <w:rPr>
            <w:rStyle w:val="Hyperlink"/>
            <w:rFonts w:ascii="Arial" w:hAnsi="Arial" w:cs="Arial"/>
            <w:b/>
            <w:sz w:val="20"/>
            <w:szCs w:val="20"/>
          </w:rPr>
          <w:t>r</w:t>
        </w:r>
        <w:proofErr w:type="spellEnd"/>
      </w:hyperlink>
      <w:r w:rsidR="006C4A6B" w:rsidRPr="00053EEC">
        <w:rPr>
          <w:rFonts w:ascii="Arial" w:hAnsi="Arial" w:cs="Arial"/>
          <w:b/>
          <w:sz w:val="20"/>
          <w:szCs w:val="20"/>
        </w:rPr>
        <w:t xml:space="preserve">: </w:t>
      </w:r>
      <w:r w:rsidR="006C4A6B" w:rsidRPr="00053EEC">
        <w:rPr>
          <w:rFonts w:ascii="Arial" w:hAnsi="Arial" w:cs="Arial"/>
          <w:sz w:val="20"/>
          <w:szCs w:val="20"/>
        </w:rPr>
        <w:t xml:space="preserve">The R&amp;S® FPC1500 combines a spectrum </w:t>
      </w:r>
      <w:proofErr w:type="spellStart"/>
      <w:r w:rsidR="006C4A6B" w:rsidRPr="00053EEC">
        <w:rPr>
          <w:rFonts w:ascii="Arial" w:hAnsi="Arial" w:cs="Arial"/>
          <w:sz w:val="20"/>
          <w:szCs w:val="20"/>
        </w:rPr>
        <w:t>analyser</w:t>
      </w:r>
      <w:proofErr w:type="spellEnd"/>
      <w:r w:rsidR="006C4A6B" w:rsidRPr="00053EEC">
        <w:rPr>
          <w:rFonts w:ascii="Arial" w:hAnsi="Arial" w:cs="Arial"/>
          <w:sz w:val="20"/>
          <w:szCs w:val="20"/>
        </w:rPr>
        <w:t xml:space="preserve">, network analyzer and signal generator in one instrument, providing great value and performance in this entry class model, suitable university laboratories, research institutions as well as production and service facilities.   The device has the lowest noise floor in its class at 165 dBm and a resolution bandwidth of 1 Hz on a 10.1” WXGA display and inbuilt investment protection with all upgrades available via keycode and no additional calibration required. Full details are available </w:t>
      </w:r>
      <w:hyperlink r:id="rId18" w:history="1">
        <w:r w:rsidR="006C4A6B" w:rsidRPr="00E64191">
          <w:rPr>
            <w:rStyle w:val="Hyperlink"/>
            <w:rFonts w:ascii="Arial" w:hAnsi="Arial" w:cs="Arial"/>
            <w:color w:val="0000FF"/>
            <w:sz w:val="20"/>
            <w:szCs w:val="20"/>
          </w:rPr>
          <w:t>here</w:t>
        </w:r>
      </w:hyperlink>
      <w:r w:rsidR="006C4A6B" w:rsidRPr="00053EEC">
        <w:rPr>
          <w:rFonts w:ascii="Arial" w:hAnsi="Arial" w:cs="Arial"/>
          <w:sz w:val="20"/>
          <w:szCs w:val="20"/>
        </w:rPr>
        <w:t>.</w:t>
      </w:r>
    </w:p>
    <w:p w14:paraId="2615F89B" w14:textId="08118B62" w:rsidR="006C4A6B" w:rsidRPr="000D17CD" w:rsidRDefault="00F93B5D" w:rsidP="000D17CD">
      <w:pPr>
        <w:pStyle w:val="ListParagraph"/>
        <w:numPr>
          <w:ilvl w:val="0"/>
          <w:numId w:val="12"/>
        </w:numPr>
        <w:pBdr>
          <w:top w:val="nil"/>
          <w:left w:val="nil"/>
          <w:bottom w:val="nil"/>
          <w:right w:val="nil"/>
          <w:between w:val="nil"/>
        </w:pBdr>
        <w:spacing w:line="276" w:lineRule="auto"/>
        <w:ind w:left="714" w:hanging="357"/>
        <w:rPr>
          <w:rFonts w:ascii="Arial" w:hAnsi="Arial" w:cs="Arial"/>
          <w:sz w:val="20"/>
          <w:szCs w:val="20"/>
        </w:rPr>
      </w:pPr>
      <w:hyperlink r:id="rId19" w:history="1">
        <w:r w:rsidR="006C4A6B" w:rsidRPr="00E64191">
          <w:rPr>
            <w:rStyle w:val="Hyperlink"/>
            <w:rFonts w:ascii="Arial" w:hAnsi="Arial" w:cs="Arial"/>
            <w:b/>
            <w:color w:val="0000FF"/>
            <w:sz w:val="20"/>
            <w:szCs w:val="20"/>
          </w:rPr>
          <w:t>Rohde &amp; Schwarz® HMP power supply family</w:t>
        </w:r>
      </w:hyperlink>
      <w:r w:rsidR="000D17CD">
        <w:rPr>
          <w:rFonts w:ascii="Arial" w:hAnsi="Arial" w:cs="Arial"/>
          <w:sz w:val="20"/>
          <w:szCs w:val="20"/>
        </w:rPr>
        <w:t>*</w:t>
      </w:r>
      <w:r w:rsidR="006C4A6B" w:rsidRPr="00990A78">
        <w:rPr>
          <w:rFonts w:ascii="Arial" w:hAnsi="Arial" w:cs="Arial"/>
          <w:b/>
          <w:sz w:val="20"/>
          <w:szCs w:val="20"/>
        </w:rPr>
        <w:t xml:space="preserve">: </w:t>
      </w:r>
      <w:r w:rsidR="006C4A6B" w:rsidRPr="00990A78">
        <w:rPr>
          <w:rFonts w:ascii="Arial" w:hAnsi="Arial" w:cs="Arial"/>
          <w:sz w:val="20"/>
          <w:szCs w:val="20"/>
        </w:rPr>
        <w:t xml:space="preserve">The </w:t>
      </w:r>
      <w:r w:rsidR="00955490">
        <w:rPr>
          <w:rFonts w:ascii="Arial" w:hAnsi="Arial" w:cs="Arial"/>
          <w:sz w:val="20"/>
          <w:szCs w:val="20"/>
        </w:rPr>
        <w:t>R&amp;S® HMP power supply family is</w:t>
      </w:r>
      <w:r w:rsidR="006C4A6B" w:rsidRPr="00990A78">
        <w:rPr>
          <w:rFonts w:ascii="Arial" w:hAnsi="Arial" w:cs="Arial"/>
          <w:sz w:val="20"/>
          <w:szCs w:val="20"/>
        </w:rPr>
        <w:t xml:space="preserve"> primarily designed for industrial use and available in four models. With two, three or four output channels and up to 10 A output current per channel, these rugged instruments are ideal for a wide variety of applications, offering high efficiency with low residual ripple and many protection functions and provide up to 80W or 160 W of channel power</w:t>
      </w:r>
      <w:r w:rsidR="00990A78" w:rsidRPr="00990A78">
        <w:rPr>
          <w:rFonts w:ascii="Arial" w:hAnsi="Arial" w:cs="Arial"/>
          <w:sz w:val="20"/>
          <w:szCs w:val="20"/>
        </w:rPr>
        <w:t xml:space="preserve"> depending on the model.  Full details are available </w:t>
      </w:r>
      <w:hyperlink r:id="rId20" w:history="1">
        <w:r w:rsidR="00990A78" w:rsidRPr="00E64191">
          <w:rPr>
            <w:rStyle w:val="Hyperlink"/>
            <w:rFonts w:ascii="Arial" w:hAnsi="Arial" w:cs="Arial"/>
            <w:color w:val="0000FF"/>
            <w:sz w:val="20"/>
            <w:szCs w:val="20"/>
          </w:rPr>
          <w:t>here</w:t>
        </w:r>
      </w:hyperlink>
    </w:p>
    <w:p w14:paraId="33EF245B" w14:textId="77777777" w:rsidR="00977C11" w:rsidRDefault="00977C11" w:rsidP="00977C11">
      <w:pPr>
        <w:widowControl w:val="0"/>
        <w:spacing w:line="276" w:lineRule="auto"/>
        <w:rPr>
          <w:rFonts w:ascii="Arial" w:hAnsi="Arial" w:cs="Arial"/>
          <w:sz w:val="20"/>
          <w:szCs w:val="20"/>
        </w:rPr>
      </w:pPr>
    </w:p>
    <w:p w14:paraId="78528CEC" w14:textId="77777777" w:rsidR="00F917F0" w:rsidRDefault="00F917F0" w:rsidP="00F917F0">
      <w:pPr>
        <w:widowControl w:val="0"/>
        <w:spacing w:line="276" w:lineRule="auto"/>
        <w:rPr>
          <w:rFonts w:ascii="Arial" w:hAnsi="Arial" w:cs="Arial"/>
          <w:sz w:val="20"/>
          <w:szCs w:val="20"/>
        </w:rPr>
      </w:pPr>
      <w:r w:rsidRPr="009142C0">
        <w:rPr>
          <w:rFonts w:ascii="Arial" w:hAnsi="Arial" w:cs="Arial"/>
          <w:sz w:val="20"/>
          <w:szCs w:val="20"/>
        </w:rPr>
        <w:t xml:space="preserve">Farnell element14’s broad product range is backed up by high standards of service and support. “We are the only global high service distributor with a truly local presence to provide customers with the expertise and advice they need when buying high-value products”, </w:t>
      </w:r>
      <w:r w:rsidRPr="009142C0">
        <w:rPr>
          <w:rFonts w:ascii="Arial" w:hAnsi="Arial" w:cs="Arial"/>
          <w:b/>
          <w:sz w:val="20"/>
          <w:szCs w:val="20"/>
        </w:rPr>
        <w:t>adds McGregor</w:t>
      </w:r>
      <w:r w:rsidRPr="009142C0">
        <w:rPr>
          <w:rFonts w:ascii="Arial" w:hAnsi="Arial" w:cs="Arial"/>
          <w:sz w:val="20"/>
          <w:szCs w:val="20"/>
        </w:rPr>
        <w:t>: “Farnell element14 can support customers throughout their journey, from product development and test through to supporting their maintenance needs. And all this is supported locally, saving the customer time and money.”</w:t>
      </w:r>
    </w:p>
    <w:p w14:paraId="11F54015" w14:textId="77777777" w:rsidR="00F917F0" w:rsidRDefault="00F917F0" w:rsidP="00977C11">
      <w:pPr>
        <w:widowControl w:val="0"/>
        <w:spacing w:line="276" w:lineRule="auto"/>
        <w:rPr>
          <w:rFonts w:ascii="Arial" w:hAnsi="Arial" w:cs="Arial"/>
          <w:sz w:val="20"/>
          <w:szCs w:val="20"/>
        </w:rPr>
      </w:pPr>
    </w:p>
    <w:p w14:paraId="08A83355" w14:textId="77777777" w:rsidR="006D51DE" w:rsidRDefault="006D51DE" w:rsidP="00977C11">
      <w:pPr>
        <w:widowControl w:val="0"/>
        <w:spacing w:line="276" w:lineRule="auto"/>
        <w:rPr>
          <w:rFonts w:ascii="Arial" w:hAnsi="Arial" w:cs="Arial"/>
          <w:sz w:val="20"/>
          <w:szCs w:val="20"/>
        </w:rPr>
      </w:pPr>
      <w:r>
        <w:rPr>
          <w:rFonts w:ascii="Arial" w:hAnsi="Arial" w:cs="Arial"/>
          <w:sz w:val="20"/>
          <w:szCs w:val="20"/>
        </w:rPr>
        <w:t xml:space="preserve">Premier Farnell operates as </w:t>
      </w:r>
      <w:hyperlink r:id="rId21" w:history="1">
        <w:r w:rsidRPr="00E64191">
          <w:rPr>
            <w:rStyle w:val="Hyperlink"/>
            <w:rFonts w:ascii="Arial" w:hAnsi="Arial" w:cs="Arial"/>
            <w:color w:val="0000FF"/>
            <w:sz w:val="20"/>
            <w:szCs w:val="20"/>
          </w:rPr>
          <w:t>Farnell element14</w:t>
        </w:r>
      </w:hyperlink>
      <w:r w:rsidRPr="00E64191">
        <w:rPr>
          <w:rFonts w:ascii="Arial" w:hAnsi="Arial" w:cs="Arial"/>
          <w:color w:val="0000FF"/>
          <w:sz w:val="20"/>
          <w:szCs w:val="20"/>
        </w:rPr>
        <w:t xml:space="preserve"> </w:t>
      </w:r>
      <w:r>
        <w:rPr>
          <w:rFonts w:ascii="Arial" w:hAnsi="Arial" w:cs="Arial"/>
          <w:sz w:val="20"/>
          <w:szCs w:val="20"/>
        </w:rPr>
        <w:t xml:space="preserve">in Europe, </w:t>
      </w:r>
      <w:hyperlink r:id="rId22" w:history="1">
        <w:r w:rsidRPr="00E64191">
          <w:rPr>
            <w:rStyle w:val="Hyperlink"/>
            <w:rFonts w:ascii="Arial" w:hAnsi="Arial" w:cs="Arial"/>
            <w:color w:val="0000FF"/>
            <w:sz w:val="20"/>
            <w:szCs w:val="20"/>
          </w:rPr>
          <w:t>Newark element14</w:t>
        </w:r>
      </w:hyperlink>
      <w:r>
        <w:rPr>
          <w:rFonts w:ascii="Arial" w:hAnsi="Arial" w:cs="Arial"/>
          <w:sz w:val="20"/>
          <w:szCs w:val="20"/>
        </w:rPr>
        <w:t xml:space="preserve"> in North America and </w:t>
      </w:r>
      <w:hyperlink r:id="rId23" w:history="1">
        <w:r w:rsidRPr="00E64191">
          <w:rPr>
            <w:rStyle w:val="Hyperlink"/>
            <w:rFonts w:ascii="Arial" w:hAnsi="Arial" w:cs="Arial"/>
            <w:color w:val="0000FF"/>
            <w:sz w:val="20"/>
            <w:szCs w:val="20"/>
          </w:rPr>
          <w:t>element14</w:t>
        </w:r>
      </w:hyperlink>
      <w:r>
        <w:rPr>
          <w:rFonts w:ascii="Arial" w:hAnsi="Arial" w:cs="Arial"/>
          <w:sz w:val="20"/>
          <w:szCs w:val="20"/>
        </w:rPr>
        <w:t xml:space="preserve"> in Asia Pacific.</w:t>
      </w:r>
    </w:p>
    <w:p w14:paraId="37C60538" w14:textId="77777777" w:rsidR="006D51DE" w:rsidRDefault="006D51DE" w:rsidP="006D51DE">
      <w:pPr>
        <w:widowControl w:val="0"/>
        <w:spacing w:line="276" w:lineRule="auto"/>
        <w:rPr>
          <w:rFonts w:ascii="Arial" w:hAnsi="Arial" w:cs="Arial"/>
          <w:sz w:val="20"/>
          <w:szCs w:val="20"/>
        </w:rPr>
      </w:pPr>
    </w:p>
    <w:p w14:paraId="42C2F7CE" w14:textId="77777777" w:rsidR="006D51DE" w:rsidRPr="000265DF" w:rsidRDefault="006D51DE" w:rsidP="006D51DE">
      <w:pPr>
        <w:widowControl w:val="0"/>
        <w:jc w:val="center"/>
        <w:rPr>
          <w:rFonts w:ascii="Arial" w:hAnsi="Arial" w:cs="Arial"/>
          <w:sz w:val="20"/>
          <w:szCs w:val="20"/>
        </w:rPr>
      </w:pPr>
      <w:r w:rsidRPr="000265DF">
        <w:rPr>
          <w:rFonts w:ascii="Arial" w:hAnsi="Arial" w:cs="Arial"/>
          <w:b/>
          <w:sz w:val="20"/>
          <w:szCs w:val="20"/>
        </w:rPr>
        <w:t>**Ends**</w:t>
      </w:r>
    </w:p>
    <w:p w14:paraId="4CA97818" w14:textId="77777777" w:rsidR="006D51DE" w:rsidRPr="000265DF" w:rsidRDefault="006D51DE" w:rsidP="006D51DE">
      <w:pPr>
        <w:rPr>
          <w:rFonts w:ascii="Arial" w:hAnsi="Arial" w:cs="Arial"/>
          <w:sz w:val="20"/>
          <w:szCs w:val="20"/>
        </w:rPr>
      </w:pPr>
    </w:p>
    <w:p w14:paraId="1C711DE4" w14:textId="77777777" w:rsidR="006D51DE" w:rsidRPr="000265DF" w:rsidRDefault="006D51DE" w:rsidP="006D51DE">
      <w:pPr>
        <w:rPr>
          <w:rFonts w:ascii="Arial" w:hAnsi="Arial" w:cs="Arial"/>
          <w:b/>
          <w:sz w:val="20"/>
          <w:szCs w:val="20"/>
          <w:u w:val="single"/>
        </w:rPr>
      </w:pPr>
      <w:r w:rsidRPr="000265DF">
        <w:rPr>
          <w:rFonts w:ascii="Arial" w:hAnsi="Arial" w:cs="Arial"/>
          <w:b/>
          <w:sz w:val="20"/>
          <w:szCs w:val="20"/>
          <w:u w:val="single"/>
        </w:rPr>
        <w:t>Notes to editors</w:t>
      </w:r>
    </w:p>
    <w:p w14:paraId="3A948041" w14:textId="77777777" w:rsidR="006D51DE" w:rsidRDefault="006D51DE" w:rsidP="006D51DE">
      <w:pPr>
        <w:rPr>
          <w:rFonts w:ascii="Arial" w:hAnsi="Arial" w:cs="Arial"/>
          <w:sz w:val="20"/>
          <w:szCs w:val="20"/>
        </w:rPr>
      </w:pPr>
    </w:p>
    <w:p w14:paraId="6E0921F1" w14:textId="74F73CF3" w:rsidR="000D17CD" w:rsidRPr="000D17CD" w:rsidRDefault="000D17CD" w:rsidP="006D51DE">
      <w:pPr>
        <w:rPr>
          <w:rFonts w:ascii="Arial" w:hAnsi="Arial" w:cs="Arial"/>
          <w:sz w:val="20"/>
          <w:szCs w:val="20"/>
        </w:rPr>
      </w:pPr>
      <w:r>
        <w:rPr>
          <w:rFonts w:ascii="Arial" w:hAnsi="Arial" w:cs="Arial"/>
          <w:sz w:val="20"/>
          <w:szCs w:val="20"/>
        </w:rPr>
        <w:t>*</w:t>
      </w:r>
      <w:r w:rsidRPr="000D17CD">
        <w:rPr>
          <w:rFonts w:ascii="Arial" w:hAnsi="Arial" w:cs="Arial"/>
          <w:sz w:val="20"/>
          <w:szCs w:val="20"/>
        </w:rPr>
        <w:t xml:space="preserve">The </w:t>
      </w:r>
      <w:hyperlink r:id="rId24" w:history="1">
        <w:r w:rsidRPr="00E64191">
          <w:rPr>
            <w:rStyle w:val="Hyperlink"/>
            <w:rFonts w:ascii="Arial" w:hAnsi="Arial" w:cs="Arial"/>
            <w:color w:val="0000FF"/>
            <w:sz w:val="20"/>
            <w:szCs w:val="20"/>
          </w:rPr>
          <w:t xml:space="preserve">Keithley DAQ6510 data acquisition and logging </w:t>
        </w:r>
        <w:proofErr w:type="spellStart"/>
        <w:r w:rsidRPr="00E64191">
          <w:rPr>
            <w:rStyle w:val="Hyperlink"/>
            <w:rFonts w:ascii="Arial" w:hAnsi="Arial" w:cs="Arial"/>
            <w:color w:val="0000FF"/>
            <w:sz w:val="20"/>
            <w:szCs w:val="20"/>
          </w:rPr>
          <w:t>multimeter</w:t>
        </w:r>
        <w:proofErr w:type="spellEnd"/>
        <w:r w:rsidRPr="00E64191">
          <w:rPr>
            <w:rStyle w:val="Hyperlink"/>
            <w:rFonts w:ascii="Arial" w:hAnsi="Arial" w:cs="Arial"/>
            <w:color w:val="0000FF"/>
            <w:sz w:val="20"/>
            <w:szCs w:val="20"/>
          </w:rPr>
          <w:t xml:space="preserve"> system</w:t>
        </w:r>
      </w:hyperlink>
      <w:r w:rsidRPr="000D17CD">
        <w:rPr>
          <w:rFonts w:ascii="Arial" w:hAnsi="Arial" w:cs="Arial"/>
          <w:sz w:val="20"/>
          <w:szCs w:val="20"/>
        </w:rPr>
        <w:t xml:space="preserve"> and </w:t>
      </w:r>
      <w:hyperlink r:id="rId25" w:history="1">
        <w:r w:rsidRPr="00E64191">
          <w:rPr>
            <w:rStyle w:val="Hyperlink"/>
            <w:rFonts w:ascii="Arial" w:hAnsi="Arial" w:cs="Arial"/>
            <w:color w:val="0000FF"/>
            <w:sz w:val="20"/>
            <w:szCs w:val="20"/>
          </w:rPr>
          <w:t>Rohde &amp; Schwarz® HMP power supply family</w:t>
        </w:r>
      </w:hyperlink>
      <w:r w:rsidRPr="000D17CD">
        <w:rPr>
          <w:rFonts w:ascii="Arial" w:hAnsi="Arial" w:cs="Arial"/>
          <w:sz w:val="20"/>
          <w:szCs w:val="20"/>
        </w:rPr>
        <w:t xml:space="preserve"> are only available for sale in Europe and Asia Pacific.</w:t>
      </w:r>
    </w:p>
    <w:p w14:paraId="6F67FCB4" w14:textId="77777777" w:rsidR="000D17CD" w:rsidRDefault="000D17CD" w:rsidP="006D51DE">
      <w:pPr>
        <w:rPr>
          <w:rFonts w:ascii="Arial" w:hAnsi="Arial" w:cs="Arial"/>
          <w:sz w:val="20"/>
          <w:szCs w:val="20"/>
        </w:rPr>
      </w:pPr>
    </w:p>
    <w:p w14:paraId="035683CC" w14:textId="77777777" w:rsidR="006D51DE" w:rsidRPr="00665830" w:rsidRDefault="006D51DE" w:rsidP="006D51DE">
      <w:pPr>
        <w:rPr>
          <w:rFonts w:ascii="Arial" w:hAnsi="Arial" w:cs="Arial"/>
          <w:sz w:val="20"/>
          <w:szCs w:val="20"/>
        </w:rPr>
      </w:pPr>
      <w:r w:rsidRPr="00665830">
        <w:rPr>
          <w:rFonts w:ascii="Arial" w:hAnsi="Arial" w:cs="Arial"/>
          <w:sz w:val="20"/>
          <w:szCs w:val="20"/>
        </w:rPr>
        <w:t xml:space="preserve">You can find more details and supporting imagery related to this press release on our newsroom: </w:t>
      </w:r>
      <w:hyperlink r:id="rId26" w:history="1">
        <w:r w:rsidRPr="00E64191">
          <w:rPr>
            <w:rStyle w:val="Hyperlink"/>
            <w:rFonts w:ascii="Arial" w:hAnsi="Arial" w:cs="Arial"/>
            <w:color w:val="0000FF"/>
            <w:sz w:val="20"/>
            <w:szCs w:val="20"/>
          </w:rPr>
          <w:t>www.element14.com/news</w:t>
        </w:r>
      </w:hyperlink>
    </w:p>
    <w:p w14:paraId="2516AD55" w14:textId="77777777" w:rsidR="00E64191" w:rsidRPr="009F0FCF" w:rsidRDefault="00E64191" w:rsidP="002C2C71">
      <w:pPr>
        <w:widowControl w:val="0"/>
        <w:rPr>
          <w:rFonts w:ascii="Arial" w:hAnsi="Arial" w:cs="Arial"/>
          <w:b/>
          <w:sz w:val="20"/>
          <w:szCs w:val="20"/>
        </w:rPr>
      </w:pPr>
    </w:p>
    <w:p w14:paraId="72046753" w14:textId="77777777" w:rsidR="00E64191" w:rsidRDefault="00E64191" w:rsidP="00E64191">
      <w:pPr>
        <w:ind w:right="-1"/>
        <w:rPr>
          <w:rFonts w:ascii="Arial" w:hAnsi="Arial" w:cs="Arial"/>
          <w:b/>
          <w:bCs/>
          <w:sz w:val="20"/>
          <w:szCs w:val="20"/>
        </w:rPr>
      </w:pPr>
    </w:p>
    <w:p w14:paraId="2DFCC600" w14:textId="77777777" w:rsidR="00E64191" w:rsidRPr="00CD0F9A" w:rsidRDefault="00E64191" w:rsidP="00E64191">
      <w:pPr>
        <w:ind w:right="-1"/>
        <w:rPr>
          <w:rFonts w:ascii="Arial" w:hAnsi="Arial" w:cs="Arial"/>
          <w:b/>
          <w:bCs/>
          <w:sz w:val="20"/>
          <w:szCs w:val="20"/>
        </w:rPr>
      </w:pPr>
      <w:r w:rsidRPr="00CD0F9A">
        <w:rPr>
          <w:rFonts w:ascii="Arial" w:hAnsi="Arial" w:cs="Arial"/>
          <w:b/>
          <w:bCs/>
          <w:sz w:val="20"/>
          <w:szCs w:val="20"/>
        </w:rPr>
        <w:t>About us</w:t>
      </w:r>
    </w:p>
    <w:p w14:paraId="5544C8BD" w14:textId="77777777" w:rsidR="00E64191" w:rsidRPr="00CD0F9A" w:rsidRDefault="00E64191" w:rsidP="00E64191">
      <w:pPr>
        <w:ind w:right="-1"/>
        <w:rPr>
          <w:rFonts w:ascii="Arial" w:hAnsi="Arial" w:cs="Arial"/>
          <w:b/>
          <w:bCs/>
          <w:sz w:val="20"/>
          <w:szCs w:val="20"/>
          <w:u w:val="single"/>
        </w:rPr>
      </w:pPr>
    </w:p>
    <w:p w14:paraId="4AD5D33A" w14:textId="77777777" w:rsidR="00E64191" w:rsidRPr="00CD0F9A" w:rsidRDefault="00F93B5D" w:rsidP="00E64191">
      <w:pPr>
        <w:ind w:right="-1"/>
        <w:rPr>
          <w:rFonts w:ascii="Arial" w:hAnsi="Arial" w:cs="Arial"/>
          <w:sz w:val="20"/>
          <w:szCs w:val="20"/>
        </w:rPr>
      </w:pPr>
      <w:hyperlink r:id="rId27" w:history="1">
        <w:r w:rsidR="00E64191" w:rsidRPr="00E64191">
          <w:rPr>
            <w:rStyle w:val="Hyperlink"/>
            <w:rFonts w:ascii="Arial" w:hAnsi="Arial" w:cs="Arial"/>
            <w:color w:val="0000FF"/>
            <w:sz w:val="20"/>
            <w:szCs w:val="20"/>
          </w:rPr>
          <w:t>Farnell element14</w:t>
        </w:r>
      </w:hyperlink>
      <w:r w:rsidR="00E64191" w:rsidRPr="00E64191">
        <w:rPr>
          <w:rFonts w:ascii="Arial" w:hAnsi="Arial" w:cs="Arial"/>
          <w:color w:val="0000FF"/>
          <w:sz w:val="20"/>
          <w:szCs w:val="20"/>
        </w:rPr>
        <w:t xml:space="preserve"> </w:t>
      </w:r>
      <w:r w:rsidR="00E64191">
        <w:rPr>
          <w:rFonts w:ascii="Arial" w:hAnsi="Arial" w:cs="Arial"/>
          <w:sz w:val="20"/>
          <w:szCs w:val="20"/>
        </w:rPr>
        <w:t xml:space="preserve">is </w:t>
      </w:r>
      <w:r w:rsidR="00E64191" w:rsidRPr="00CD0F9A">
        <w:rPr>
          <w:rFonts w:ascii="Arial" w:hAnsi="Arial" w:cs="Arial"/>
          <w:sz w:val="20"/>
          <w:szCs w:val="20"/>
        </w:rPr>
        <w:t xml:space="preserve">part of the </w:t>
      </w:r>
      <w:hyperlink r:id="rId28" w:history="1">
        <w:r w:rsidR="00E64191" w:rsidRPr="00E64191">
          <w:rPr>
            <w:rStyle w:val="Hyperlink"/>
            <w:rFonts w:ascii="Arial" w:hAnsi="Arial" w:cs="Arial"/>
            <w:color w:val="0000FF"/>
            <w:sz w:val="20"/>
            <w:szCs w:val="20"/>
          </w:rPr>
          <w:t>Premier Farnell</w:t>
        </w:r>
        <w:r w:rsidR="00E64191" w:rsidRPr="00CD0F9A">
          <w:rPr>
            <w:rStyle w:val="Hyperlink"/>
            <w:rFonts w:ascii="Arial" w:hAnsi="Arial" w:cs="Arial"/>
            <w:sz w:val="20"/>
            <w:szCs w:val="20"/>
          </w:rPr>
          <w:t xml:space="preserve"> </w:t>
        </w:r>
      </w:hyperlink>
      <w:r w:rsidR="00E64191" w:rsidRPr="00CD0F9A">
        <w:rPr>
          <w:rFonts w:ascii="Arial" w:hAnsi="Arial" w:cs="Arial"/>
          <w:sz w:val="20"/>
          <w:szCs w:val="20"/>
        </w:rPr>
        <w:t xml:space="preserve">group of businesses, a global technology leader with over 80 years in the high service distribution of technology products and solutions for electronic system design, production, maintenance and repair. Premier Farnell uses this experience to support its broad customer base, from hobbyists to engineers, maintenance engineers and buyers as ‘The Development Distributor’, working with leading brands and start-ups to develop new products for market, and supporting the industry as it seeks to develop the current and next generation of engineers.  </w:t>
      </w:r>
    </w:p>
    <w:p w14:paraId="08152660" w14:textId="77777777" w:rsidR="00E64191" w:rsidRPr="00CD0F9A" w:rsidRDefault="00E64191" w:rsidP="00E64191">
      <w:pPr>
        <w:ind w:right="-1"/>
        <w:rPr>
          <w:rFonts w:ascii="Arial" w:hAnsi="Arial" w:cs="Arial"/>
          <w:sz w:val="20"/>
          <w:szCs w:val="20"/>
        </w:rPr>
      </w:pPr>
    </w:p>
    <w:p w14:paraId="2E6DDD3C" w14:textId="77777777" w:rsidR="00E64191" w:rsidRPr="00CD0F9A" w:rsidRDefault="00E64191" w:rsidP="00E64191">
      <w:pPr>
        <w:ind w:right="-1"/>
        <w:rPr>
          <w:rFonts w:ascii="Arial" w:hAnsi="Arial" w:cs="Arial"/>
          <w:sz w:val="20"/>
          <w:szCs w:val="20"/>
          <w:shd w:val="clear" w:color="auto" w:fill="FFFFFF"/>
        </w:rPr>
      </w:pPr>
      <w:r w:rsidRPr="00337D01">
        <w:rPr>
          <w:rFonts w:ascii="Arial" w:hAnsi="Arial" w:cs="Arial"/>
          <w:sz w:val="20"/>
          <w:szCs w:val="20"/>
        </w:rPr>
        <w:t xml:space="preserve">Premier Farnell is a business unit of Avnet (Nasdaq: </w:t>
      </w:r>
      <w:hyperlink r:id="rId29" w:history="1">
        <w:r w:rsidRPr="00E64191">
          <w:rPr>
            <w:rStyle w:val="Hyperlink"/>
            <w:rFonts w:ascii="Arial" w:hAnsi="Arial" w:cs="Arial"/>
            <w:color w:val="0000FF"/>
            <w:sz w:val="20"/>
            <w:szCs w:val="20"/>
          </w:rPr>
          <w:t>AVT</w:t>
        </w:r>
      </w:hyperlink>
      <w:r w:rsidRPr="00337D01">
        <w:rPr>
          <w:rFonts w:ascii="Arial" w:hAnsi="Arial" w:cs="Arial"/>
          <w:sz w:val="20"/>
          <w:szCs w:val="20"/>
        </w:rPr>
        <w:t>).</w:t>
      </w:r>
      <w:r>
        <w:rPr>
          <w:rFonts w:ascii="Arial" w:hAnsi="Arial" w:cs="Arial"/>
          <w:sz w:val="20"/>
          <w:szCs w:val="20"/>
          <w:shd w:val="clear" w:color="auto" w:fill="FFFFFF"/>
        </w:rPr>
        <w:t xml:space="preserve"> </w:t>
      </w:r>
      <w:r w:rsidRPr="00CD0F9A">
        <w:rPr>
          <w:rFonts w:ascii="Arial" w:hAnsi="Arial" w:cs="Arial"/>
          <w:sz w:val="20"/>
          <w:szCs w:val="20"/>
          <w:shd w:val="clear" w:color="auto" w:fill="FFFFFF"/>
        </w:rPr>
        <w:t xml:space="preserve">Premier Farnell </w:t>
      </w:r>
      <w:r w:rsidRPr="00CD0F9A">
        <w:rPr>
          <w:rFonts w:ascii="Arial" w:hAnsi="Arial" w:cs="Arial"/>
          <w:sz w:val="20"/>
          <w:szCs w:val="20"/>
        </w:rPr>
        <w:t>trades as </w:t>
      </w:r>
      <w:hyperlink r:id="rId30" w:history="1">
        <w:r w:rsidRPr="00E64191">
          <w:rPr>
            <w:rStyle w:val="Hyperlink"/>
            <w:rFonts w:ascii="Arial" w:hAnsi="Arial" w:cs="Arial"/>
            <w:color w:val="0000FF"/>
            <w:sz w:val="20"/>
            <w:szCs w:val="20"/>
          </w:rPr>
          <w:t>Farnell element14</w:t>
        </w:r>
      </w:hyperlink>
      <w:r w:rsidRPr="00CD0F9A">
        <w:rPr>
          <w:rFonts w:ascii="Arial" w:hAnsi="Arial" w:cs="Arial"/>
          <w:sz w:val="20"/>
          <w:szCs w:val="20"/>
        </w:rPr>
        <w:t> in Europe, </w:t>
      </w:r>
      <w:hyperlink r:id="rId31" w:history="1">
        <w:r w:rsidRPr="00E64191">
          <w:rPr>
            <w:rStyle w:val="Hyperlink"/>
            <w:rFonts w:ascii="Arial" w:hAnsi="Arial" w:cs="Arial"/>
            <w:color w:val="0000FF"/>
            <w:sz w:val="20"/>
            <w:szCs w:val="20"/>
          </w:rPr>
          <w:t>Newark element14</w:t>
        </w:r>
      </w:hyperlink>
      <w:r w:rsidRPr="00CD0F9A">
        <w:rPr>
          <w:rFonts w:ascii="Arial" w:hAnsi="Arial" w:cs="Arial"/>
          <w:sz w:val="20"/>
          <w:szCs w:val="20"/>
        </w:rPr>
        <w:t xml:space="preserve"> in North America, and </w:t>
      </w:r>
      <w:hyperlink r:id="rId32" w:history="1">
        <w:r w:rsidRPr="00E64191">
          <w:rPr>
            <w:rStyle w:val="Hyperlink"/>
            <w:rFonts w:ascii="Arial" w:hAnsi="Arial" w:cs="Arial"/>
            <w:color w:val="0000FF"/>
            <w:sz w:val="20"/>
            <w:szCs w:val="20"/>
          </w:rPr>
          <w:t>element14</w:t>
        </w:r>
      </w:hyperlink>
      <w:r w:rsidRPr="00CD0F9A">
        <w:rPr>
          <w:rFonts w:ascii="Arial" w:hAnsi="Arial" w:cs="Arial"/>
          <w:sz w:val="20"/>
          <w:szCs w:val="20"/>
        </w:rPr>
        <w:t> throughout Asia Pacific</w:t>
      </w:r>
      <w:r w:rsidRPr="00CD0F9A">
        <w:rPr>
          <w:rFonts w:ascii="Arial" w:hAnsi="Arial" w:cs="Arial"/>
          <w:sz w:val="20"/>
          <w:szCs w:val="20"/>
          <w:shd w:val="clear" w:color="auto" w:fill="FFFFFF"/>
        </w:rPr>
        <w:t>.</w:t>
      </w:r>
      <w:r w:rsidRPr="00CD0F9A">
        <w:rPr>
          <w:rFonts w:ascii="Arial" w:hAnsi="Arial" w:cs="Arial"/>
          <w:sz w:val="20"/>
          <w:szCs w:val="20"/>
        </w:rPr>
        <w:t xml:space="preserve"> </w:t>
      </w:r>
      <w:r>
        <w:rPr>
          <w:rFonts w:ascii="Arial" w:hAnsi="Arial" w:cs="Arial"/>
          <w:sz w:val="20"/>
          <w:szCs w:val="20"/>
        </w:rPr>
        <w:t>The Premier Farnell Group is supported by a global supply chain of more than 3,500 suppliers and has an extensive inventory profile developed to anticipate and meet the needs of innovative customers everywhere.</w:t>
      </w:r>
      <w:r>
        <w:rPr>
          <w:rFonts w:ascii="Arial" w:hAnsi="Arial" w:cs="Arial"/>
          <w:sz w:val="20"/>
          <w:szCs w:val="20"/>
          <w:shd w:val="clear" w:color="auto" w:fill="FFFFFF"/>
        </w:rPr>
        <w:t xml:space="preserve"> </w:t>
      </w:r>
      <w:r>
        <w:rPr>
          <w:rFonts w:ascii="Arial" w:hAnsi="Arial" w:cs="Arial"/>
          <w:sz w:val="20"/>
          <w:szCs w:val="20"/>
        </w:rPr>
        <w:t xml:space="preserve">Premier Farnell sells direct to consumers through a network of resellers, and its </w:t>
      </w:r>
      <w:hyperlink r:id="rId33" w:history="1">
        <w:r w:rsidRPr="00E64191">
          <w:rPr>
            <w:rStyle w:val="Hyperlink"/>
            <w:rFonts w:ascii="Arial" w:hAnsi="Arial" w:cs="Arial"/>
            <w:color w:val="0000FF"/>
            <w:sz w:val="20"/>
            <w:szCs w:val="20"/>
          </w:rPr>
          <w:t>CPC</w:t>
        </w:r>
      </w:hyperlink>
      <w:r>
        <w:rPr>
          <w:rFonts w:ascii="Arial" w:hAnsi="Arial" w:cs="Arial"/>
          <w:sz w:val="20"/>
          <w:szCs w:val="20"/>
        </w:rPr>
        <w:t xml:space="preserve"> business in the UK.</w:t>
      </w:r>
    </w:p>
    <w:p w14:paraId="47CD0EA7" w14:textId="77777777" w:rsidR="00E64191" w:rsidRPr="00CD0F9A" w:rsidRDefault="00E64191" w:rsidP="00E64191">
      <w:pPr>
        <w:shd w:val="clear" w:color="auto" w:fill="FFFFFF"/>
        <w:ind w:right="-1"/>
        <w:rPr>
          <w:rFonts w:ascii="Arial" w:hAnsi="Arial" w:cs="Arial"/>
          <w:sz w:val="20"/>
          <w:szCs w:val="20"/>
        </w:rPr>
      </w:pPr>
    </w:p>
    <w:p w14:paraId="20B7FDED" w14:textId="77777777" w:rsidR="00E64191" w:rsidRPr="00CD0F9A" w:rsidRDefault="00E64191" w:rsidP="00E64191">
      <w:pPr>
        <w:shd w:val="clear" w:color="auto" w:fill="FFFFFF"/>
        <w:ind w:right="-1"/>
        <w:rPr>
          <w:rFonts w:ascii="Arial" w:hAnsi="Arial" w:cs="Arial"/>
          <w:sz w:val="20"/>
          <w:szCs w:val="20"/>
        </w:rPr>
      </w:pPr>
      <w:r w:rsidRPr="00CD0F9A">
        <w:rPr>
          <w:rFonts w:ascii="Arial" w:hAnsi="Arial" w:cs="Arial"/>
          <w:sz w:val="20"/>
          <w:szCs w:val="20"/>
        </w:rPr>
        <w:t xml:space="preserve">For more information, visit the website at </w:t>
      </w:r>
      <w:hyperlink r:id="rId34" w:history="1">
        <w:r w:rsidRPr="00E64191">
          <w:rPr>
            <w:rStyle w:val="Hyperlink"/>
            <w:rFonts w:ascii="Arial" w:hAnsi="Arial" w:cs="Arial"/>
            <w:color w:val="0000FF"/>
            <w:sz w:val="20"/>
            <w:szCs w:val="20"/>
          </w:rPr>
          <w:t>http://www.premierfarnell.com</w:t>
        </w:r>
      </w:hyperlink>
    </w:p>
    <w:p w14:paraId="4D953E18" w14:textId="77777777" w:rsidR="00E64191" w:rsidRPr="00CD0F9A" w:rsidRDefault="00E64191" w:rsidP="00E64191">
      <w:pPr>
        <w:shd w:val="clear" w:color="auto" w:fill="FFFFFF"/>
        <w:ind w:right="-1"/>
        <w:rPr>
          <w:rFonts w:ascii="Arial" w:hAnsi="Arial" w:cs="Arial"/>
          <w:sz w:val="20"/>
          <w:szCs w:val="20"/>
        </w:rPr>
      </w:pPr>
    </w:p>
    <w:p w14:paraId="717C061E" w14:textId="77777777" w:rsidR="00E64191" w:rsidRPr="00CD0F9A" w:rsidRDefault="00E64191" w:rsidP="00E64191">
      <w:pPr>
        <w:pStyle w:val="ColorfulList-Accent11"/>
        <w:spacing w:after="0" w:line="240" w:lineRule="auto"/>
        <w:ind w:left="0" w:right="-1"/>
        <w:rPr>
          <w:rFonts w:ascii="Arial" w:hAnsi="Arial" w:cs="Arial"/>
          <w:color w:val="000000"/>
          <w:sz w:val="20"/>
          <w:szCs w:val="20"/>
        </w:rPr>
      </w:pPr>
      <w:r w:rsidRPr="00CD0F9A">
        <w:rPr>
          <w:rFonts w:ascii="Arial" w:hAnsi="Arial" w:cs="Arial"/>
          <w:b/>
          <w:bCs/>
          <w:sz w:val="20"/>
          <w:szCs w:val="20"/>
        </w:rPr>
        <w:t>European PR Agency:</w:t>
      </w:r>
      <w:r w:rsidRPr="00CD0F9A">
        <w:rPr>
          <w:rFonts w:ascii="Arial" w:hAnsi="Arial" w:cs="Arial"/>
          <w:b/>
          <w:color w:val="000000"/>
          <w:sz w:val="20"/>
          <w:szCs w:val="20"/>
          <w:u w:val="single"/>
        </w:rPr>
        <w:t xml:space="preserve"> </w:t>
      </w:r>
    </w:p>
    <w:p w14:paraId="3E03A037" w14:textId="77777777" w:rsidR="00E64191" w:rsidRPr="00CD0F9A" w:rsidRDefault="00E64191" w:rsidP="00E64191">
      <w:pPr>
        <w:ind w:right="-1"/>
        <w:rPr>
          <w:rFonts w:ascii="Arial" w:hAnsi="Arial" w:cs="Arial"/>
          <w:b/>
          <w:bCs/>
          <w:sz w:val="20"/>
          <w:szCs w:val="20"/>
        </w:rPr>
      </w:pPr>
      <w:r w:rsidRPr="00CD0F9A">
        <w:rPr>
          <w:rFonts w:ascii="Arial" w:hAnsi="Arial" w:cs="Arial"/>
          <w:b/>
          <w:bCs/>
          <w:sz w:val="20"/>
          <w:szCs w:val="20"/>
        </w:rPr>
        <w:t>Freya Ward</w:t>
      </w:r>
    </w:p>
    <w:p w14:paraId="2C262670" w14:textId="77777777" w:rsidR="00E64191" w:rsidRPr="00CD0F9A" w:rsidRDefault="00E64191" w:rsidP="00E64191">
      <w:pPr>
        <w:ind w:right="-1"/>
        <w:rPr>
          <w:rFonts w:ascii="Arial" w:hAnsi="Arial" w:cs="Arial"/>
          <w:b/>
          <w:bCs/>
          <w:sz w:val="20"/>
          <w:szCs w:val="20"/>
        </w:rPr>
      </w:pPr>
      <w:r w:rsidRPr="00CD0F9A">
        <w:rPr>
          <w:rFonts w:ascii="Arial" w:hAnsi="Arial" w:cs="Arial"/>
          <w:b/>
          <w:bCs/>
          <w:sz w:val="20"/>
          <w:szCs w:val="20"/>
        </w:rPr>
        <w:t>Napier Partnership</w:t>
      </w:r>
    </w:p>
    <w:p w14:paraId="4E9D62F7" w14:textId="77777777" w:rsidR="00E64191" w:rsidRPr="00CD0F9A" w:rsidRDefault="00E64191" w:rsidP="00E64191">
      <w:pPr>
        <w:ind w:right="-1"/>
        <w:rPr>
          <w:rFonts w:ascii="Arial" w:hAnsi="Arial" w:cs="Arial"/>
          <w:bCs/>
          <w:sz w:val="20"/>
          <w:szCs w:val="20"/>
        </w:rPr>
      </w:pPr>
      <w:r w:rsidRPr="00CD0F9A">
        <w:rPr>
          <w:rFonts w:ascii="Arial" w:hAnsi="Arial" w:cs="Arial"/>
          <w:bCs/>
          <w:sz w:val="20"/>
          <w:szCs w:val="20"/>
        </w:rPr>
        <w:t>Tel: +44 1243 531123</w:t>
      </w:r>
    </w:p>
    <w:p w14:paraId="06EA7420" w14:textId="77777777" w:rsidR="00E64191" w:rsidRPr="00CD0F9A" w:rsidRDefault="00E64191" w:rsidP="00E64191">
      <w:pPr>
        <w:ind w:right="-1"/>
        <w:rPr>
          <w:rStyle w:val="Hyperlink"/>
          <w:rFonts w:ascii="Arial" w:hAnsi="Arial" w:cs="Arial"/>
          <w:sz w:val="20"/>
          <w:szCs w:val="20"/>
        </w:rPr>
      </w:pPr>
      <w:r w:rsidRPr="00CD0F9A">
        <w:rPr>
          <w:rFonts w:ascii="Arial" w:hAnsi="Arial" w:cs="Arial"/>
          <w:bCs/>
          <w:sz w:val="20"/>
          <w:szCs w:val="20"/>
        </w:rPr>
        <w:t xml:space="preserve">Email: </w:t>
      </w:r>
      <w:hyperlink r:id="rId35" w:history="1">
        <w:r w:rsidRPr="00E64191">
          <w:rPr>
            <w:rStyle w:val="Hyperlink"/>
            <w:rFonts w:ascii="Arial" w:hAnsi="Arial" w:cs="Arial"/>
            <w:color w:val="0000FF"/>
            <w:sz w:val="20"/>
            <w:szCs w:val="20"/>
          </w:rPr>
          <w:t>Freya@napierb2b.com</w:t>
        </w:r>
      </w:hyperlink>
    </w:p>
    <w:p w14:paraId="6B75B3A8" w14:textId="77777777" w:rsidR="00E64191" w:rsidRPr="00CD0F9A" w:rsidRDefault="00E64191" w:rsidP="00E64191">
      <w:pPr>
        <w:ind w:right="-1"/>
        <w:rPr>
          <w:rFonts w:ascii="Arial" w:hAnsi="Arial" w:cs="Arial"/>
          <w:b/>
          <w:bCs/>
          <w:sz w:val="20"/>
          <w:szCs w:val="20"/>
        </w:rPr>
      </w:pPr>
    </w:p>
    <w:p w14:paraId="1D7A318A" w14:textId="77777777" w:rsidR="00E64191" w:rsidRPr="00CD0F9A" w:rsidRDefault="00E64191" w:rsidP="00E64191">
      <w:pPr>
        <w:ind w:right="-1"/>
        <w:rPr>
          <w:rFonts w:ascii="Arial" w:hAnsi="Arial" w:cs="Arial"/>
          <w:b/>
          <w:bCs/>
          <w:sz w:val="20"/>
          <w:szCs w:val="20"/>
        </w:rPr>
      </w:pPr>
      <w:r w:rsidRPr="00CD0F9A">
        <w:rPr>
          <w:rFonts w:ascii="Arial" w:hAnsi="Arial" w:cs="Arial"/>
          <w:b/>
          <w:bCs/>
          <w:sz w:val="20"/>
          <w:szCs w:val="20"/>
        </w:rPr>
        <w:t>Premier Farnell:</w:t>
      </w:r>
    </w:p>
    <w:p w14:paraId="73CB3832" w14:textId="77777777" w:rsidR="00E64191" w:rsidRPr="00CD0F9A" w:rsidRDefault="00E64191" w:rsidP="00E64191">
      <w:pPr>
        <w:ind w:right="-1"/>
        <w:rPr>
          <w:rFonts w:ascii="Arial" w:hAnsi="Arial" w:cs="Arial"/>
          <w:b/>
          <w:bCs/>
          <w:sz w:val="20"/>
          <w:szCs w:val="20"/>
        </w:rPr>
      </w:pPr>
      <w:r w:rsidRPr="00CD0F9A">
        <w:rPr>
          <w:rFonts w:ascii="Arial" w:hAnsi="Arial" w:cs="Arial"/>
          <w:b/>
          <w:bCs/>
          <w:sz w:val="20"/>
          <w:szCs w:val="20"/>
        </w:rPr>
        <w:t>Holly Smart</w:t>
      </w:r>
    </w:p>
    <w:p w14:paraId="5637D7CA" w14:textId="77777777" w:rsidR="00E64191" w:rsidRPr="00CD0F9A" w:rsidRDefault="00E64191" w:rsidP="00E64191">
      <w:pPr>
        <w:ind w:right="-1"/>
        <w:rPr>
          <w:rFonts w:ascii="Arial" w:hAnsi="Arial" w:cs="Arial"/>
          <w:b/>
          <w:bCs/>
          <w:sz w:val="20"/>
          <w:szCs w:val="20"/>
        </w:rPr>
      </w:pPr>
      <w:r w:rsidRPr="00CD0F9A">
        <w:rPr>
          <w:rFonts w:ascii="Arial" w:hAnsi="Arial" w:cs="Arial"/>
          <w:b/>
          <w:bCs/>
          <w:sz w:val="20"/>
          <w:szCs w:val="20"/>
        </w:rPr>
        <w:t>Head of PR and External Communications</w:t>
      </w:r>
    </w:p>
    <w:p w14:paraId="375E4384" w14:textId="77777777" w:rsidR="00E64191" w:rsidRPr="00CD0F9A" w:rsidRDefault="00E64191" w:rsidP="00E64191">
      <w:pPr>
        <w:ind w:right="-1"/>
        <w:rPr>
          <w:rFonts w:ascii="Arial" w:hAnsi="Arial" w:cs="Arial"/>
          <w:bCs/>
          <w:sz w:val="20"/>
          <w:szCs w:val="20"/>
        </w:rPr>
      </w:pPr>
      <w:r w:rsidRPr="00CD0F9A">
        <w:rPr>
          <w:rFonts w:ascii="Arial" w:hAnsi="Arial" w:cs="Arial"/>
          <w:bCs/>
          <w:sz w:val="20"/>
          <w:szCs w:val="20"/>
        </w:rPr>
        <w:t>Tel: +44 113 2485188</w:t>
      </w:r>
    </w:p>
    <w:p w14:paraId="3650DE58" w14:textId="77777777" w:rsidR="00E64191" w:rsidRPr="00CD0F9A" w:rsidRDefault="00E64191" w:rsidP="00E64191">
      <w:pPr>
        <w:ind w:right="-1"/>
        <w:rPr>
          <w:rFonts w:ascii="Arial" w:hAnsi="Arial" w:cs="Arial"/>
          <w:sz w:val="20"/>
          <w:szCs w:val="20"/>
          <w:u w:val="single"/>
        </w:rPr>
      </w:pPr>
      <w:r w:rsidRPr="00CD0F9A">
        <w:rPr>
          <w:rFonts w:ascii="Arial" w:hAnsi="Arial" w:cs="Arial"/>
          <w:bCs/>
          <w:sz w:val="20"/>
          <w:szCs w:val="20"/>
        </w:rPr>
        <w:t>Email:</w:t>
      </w:r>
      <w:r w:rsidRPr="00CD0F9A">
        <w:rPr>
          <w:rFonts w:ascii="Arial" w:hAnsi="Arial" w:cs="Arial"/>
          <w:b/>
          <w:bCs/>
          <w:sz w:val="20"/>
          <w:szCs w:val="20"/>
        </w:rPr>
        <w:t> </w:t>
      </w:r>
      <w:hyperlink r:id="rId36" w:history="1">
        <w:r w:rsidRPr="00E64191">
          <w:rPr>
            <w:rStyle w:val="Hyperlink"/>
            <w:rFonts w:ascii="Arial" w:hAnsi="Arial" w:cs="Arial"/>
            <w:color w:val="0000FF"/>
            <w:sz w:val="20"/>
            <w:szCs w:val="20"/>
          </w:rPr>
          <w:t>hsmart@premierfarnell.com</w:t>
        </w:r>
      </w:hyperlink>
      <w:r w:rsidRPr="00CD0F9A">
        <w:rPr>
          <w:rFonts w:ascii="Arial" w:hAnsi="Arial" w:cs="Arial"/>
          <w:bCs/>
          <w:sz w:val="20"/>
          <w:szCs w:val="20"/>
        </w:rPr>
        <w:t xml:space="preserve">  </w:t>
      </w:r>
    </w:p>
    <w:p w14:paraId="68ECC540" w14:textId="77777777" w:rsidR="00584A6A" w:rsidRPr="009F0FCF" w:rsidRDefault="00584A6A" w:rsidP="008947C0">
      <w:pPr>
        <w:ind w:right="-1"/>
        <w:rPr>
          <w:rFonts w:ascii="Arial" w:hAnsi="Arial" w:cs="Arial"/>
          <w:sz w:val="20"/>
          <w:szCs w:val="20"/>
        </w:rPr>
      </w:pPr>
    </w:p>
    <w:sectPr w:rsidR="00584A6A" w:rsidRPr="009F0FCF" w:rsidSect="008947C0">
      <w:headerReference w:type="default" r:id="rId37"/>
      <w:footerReference w:type="default" r:id="rId38"/>
      <w:pgSz w:w="11900" w:h="16840"/>
      <w:pgMar w:top="1440" w:right="1127" w:bottom="1440" w:left="1276"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DD413" w14:textId="77777777" w:rsidR="00E64DEE" w:rsidRDefault="00E64DEE" w:rsidP="001C020F">
      <w:r>
        <w:separator/>
      </w:r>
    </w:p>
  </w:endnote>
  <w:endnote w:type="continuationSeparator" w:id="0">
    <w:p w14:paraId="6FF3FAED" w14:textId="77777777" w:rsidR="00E64DEE" w:rsidRDefault="00E64DEE" w:rsidP="001C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C0A2" w14:textId="77777777" w:rsidR="00CD0F9A" w:rsidRPr="00CD0F9A" w:rsidRDefault="00977C11" w:rsidP="00A50D83">
    <w:pPr>
      <w:pStyle w:val="Footer"/>
      <w:rPr>
        <w:rFonts w:ascii="Arial" w:hAnsi="Arial" w:cs="Arial"/>
        <w:sz w:val="20"/>
        <w:szCs w:val="20"/>
      </w:rPr>
    </w:pPr>
    <w:r>
      <w:rPr>
        <w:rFonts w:ascii="Arial" w:hAnsi="Arial" w:cs="Arial"/>
        <w:sz w:val="20"/>
        <w:szCs w:val="20"/>
      </w:rPr>
      <w:t>FAR226</w:t>
    </w:r>
    <w:r w:rsidR="00CD0F9A" w:rsidRPr="00CD0F9A">
      <w:rPr>
        <w:rFonts w:ascii="Arial" w:hAnsi="Arial" w:cs="Arial"/>
        <w:sz w:val="20"/>
        <w:szCs w:val="20"/>
      </w:rPr>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8151F" w14:textId="77777777" w:rsidR="00E64DEE" w:rsidRDefault="00E64DEE" w:rsidP="001C020F">
      <w:r>
        <w:separator/>
      </w:r>
    </w:p>
  </w:footnote>
  <w:footnote w:type="continuationSeparator" w:id="0">
    <w:p w14:paraId="4E7F3C29" w14:textId="77777777" w:rsidR="00E64DEE" w:rsidRDefault="00E64DEE" w:rsidP="001C0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9BD07" w14:textId="77777777" w:rsidR="001C020F" w:rsidRDefault="001053B2" w:rsidP="001C020F">
    <w:pPr>
      <w:tabs>
        <w:tab w:val="left" w:pos="4905"/>
      </w:tabs>
      <w:rPr>
        <w:noProof/>
        <w:lang w:eastAsia="en-GB"/>
      </w:rPr>
    </w:pPr>
    <w:r>
      <w:rPr>
        <w:noProof/>
        <w:lang w:eastAsia="en-GB"/>
      </w:rPr>
      <w:drawing>
        <wp:anchor distT="0" distB="0" distL="114300" distR="114300" simplePos="0" relativeHeight="251663872" behindDoc="0" locked="0" layoutInCell="1" allowOverlap="1" wp14:anchorId="20A6E4DD" wp14:editId="3DA6ABE8">
          <wp:simplePos x="0" y="0"/>
          <wp:positionH relativeFrom="column">
            <wp:posOffset>3409315</wp:posOffset>
          </wp:positionH>
          <wp:positionV relativeFrom="paragraph">
            <wp:posOffset>-2540</wp:posOffset>
          </wp:positionV>
          <wp:extent cx="2555518" cy="43624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5518" cy="436245"/>
                  </a:xfrm>
                  <a:prstGeom prst="rect">
                    <a:avLst/>
                  </a:prstGeom>
                </pic:spPr>
              </pic:pic>
            </a:graphicData>
          </a:graphic>
        </wp:anchor>
      </w:drawing>
    </w:r>
    <w:r>
      <w:rPr>
        <w:noProof/>
        <w:lang w:eastAsia="en-GB"/>
      </w:rPr>
      <w:drawing>
        <wp:inline distT="0" distB="0" distL="0" distR="0" wp14:anchorId="3E1DB0E8" wp14:editId="14189504">
          <wp:extent cx="1815264" cy="418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5501" cy="420825"/>
                  </a:xfrm>
                  <a:prstGeom prst="rect">
                    <a:avLst/>
                  </a:prstGeom>
                  <a:noFill/>
                </pic:spPr>
              </pic:pic>
            </a:graphicData>
          </a:graphic>
        </wp:inline>
      </w:drawing>
    </w:r>
  </w:p>
  <w:p w14:paraId="4B4590E1" w14:textId="77777777" w:rsidR="001C020F" w:rsidRDefault="001C020F" w:rsidP="001C020F">
    <w:pPr>
      <w:tabs>
        <w:tab w:val="left" w:pos="49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146EF"/>
    <w:multiLevelType w:val="hybridMultilevel"/>
    <w:tmpl w:val="DF94B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04BE0"/>
    <w:multiLevelType w:val="hybridMultilevel"/>
    <w:tmpl w:val="AE604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84D05"/>
    <w:multiLevelType w:val="hybridMultilevel"/>
    <w:tmpl w:val="59A6A2B4"/>
    <w:lvl w:ilvl="0" w:tplc="734CB286">
      <w:start w:val="5"/>
      <w:numFmt w:val="bullet"/>
      <w:lvlText w:val="-"/>
      <w:lvlJc w:val="left"/>
      <w:pPr>
        <w:ind w:left="360" w:hanging="360"/>
      </w:pPr>
      <w:rPr>
        <w:rFonts w:ascii="Courier New" w:eastAsiaTheme="minorHAnsi"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AB33A1"/>
    <w:multiLevelType w:val="multilevel"/>
    <w:tmpl w:val="C700F828"/>
    <w:lvl w:ilvl="0">
      <w:start w:val="1"/>
      <w:numFmt w:val="bullet"/>
      <w:lvlText w:val="•"/>
      <w:lvlJc w:val="left"/>
      <w:pPr>
        <w:ind w:left="3" w:hanging="570"/>
      </w:pPr>
      <w:rPr>
        <w:rFonts w:ascii="Calibri" w:eastAsia="Calibri" w:hAnsi="Calibri" w:cs="Calibri"/>
      </w:rPr>
    </w:lvl>
    <w:lvl w:ilvl="1">
      <w:start w:val="1"/>
      <w:numFmt w:val="bullet"/>
      <w:lvlText w:val="o"/>
      <w:lvlJc w:val="left"/>
      <w:pPr>
        <w:ind w:left="513" w:hanging="360"/>
      </w:pPr>
      <w:rPr>
        <w:rFonts w:ascii="Courier New" w:eastAsia="Courier New" w:hAnsi="Courier New" w:cs="Courier New"/>
      </w:rPr>
    </w:lvl>
    <w:lvl w:ilvl="2">
      <w:start w:val="1"/>
      <w:numFmt w:val="bullet"/>
      <w:lvlText w:val="▪"/>
      <w:lvlJc w:val="left"/>
      <w:pPr>
        <w:ind w:left="1233" w:hanging="360"/>
      </w:pPr>
      <w:rPr>
        <w:rFonts w:ascii="Noto Sans Symbols" w:eastAsia="Noto Sans Symbols" w:hAnsi="Noto Sans Symbols" w:cs="Noto Sans Symbols"/>
      </w:rPr>
    </w:lvl>
    <w:lvl w:ilvl="3">
      <w:start w:val="1"/>
      <w:numFmt w:val="bullet"/>
      <w:lvlText w:val="●"/>
      <w:lvlJc w:val="left"/>
      <w:pPr>
        <w:ind w:left="1953" w:hanging="360"/>
      </w:pPr>
      <w:rPr>
        <w:rFonts w:ascii="Noto Sans Symbols" w:eastAsia="Noto Sans Symbols" w:hAnsi="Noto Sans Symbols" w:cs="Noto Sans Symbols"/>
      </w:rPr>
    </w:lvl>
    <w:lvl w:ilvl="4">
      <w:start w:val="1"/>
      <w:numFmt w:val="bullet"/>
      <w:lvlText w:val="o"/>
      <w:lvlJc w:val="left"/>
      <w:pPr>
        <w:ind w:left="2673" w:hanging="360"/>
      </w:pPr>
      <w:rPr>
        <w:rFonts w:ascii="Courier New" w:eastAsia="Courier New" w:hAnsi="Courier New" w:cs="Courier New"/>
      </w:rPr>
    </w:lvl>
    <w:lvl w:ilvl="5">
      <w:start w:val="1"/>
      <w:numFmt w:val="bullet"/>
      <w:lvlText w:val="▪"/>
      <w:lvlJc w:val="left"/>
      <w:pPr>
        <w:ind w:left="3393" w:hanging="360"/>
      </w:pPr>
      <w:rPr>
        <w:rFonts w:ascii="Noto Sans Symbols" w:eastAsia="Noto Sans Symbols" w:hAnsi="Noto Sans Symbols" w:cs="Noto Sans Symbols"/>
      </w:rPr>
    </w:lvl>
    <w:lvl w:ilvl="6">
      <w:start w:val="1"/>
      <w:numFmt w:val="bullet"/>
      <w:lvlText w:val="●"/>
      <w:lvlJc w:val="left"/>
      <w:pPr>
        <w:ind w:left="4113" w:hanging="360"/>
      </w:pPr>
      <w:rPr>
        <w:rFonts w:ascii="Noto Sans Symbols" w:eastAsia="Noto Sans Symbols" w:hAnsi="Noto Sans Symbols" w:cs="Noto Sans Symbols"/>
      </w:rPr>
    </w:lvl>
    <w:lvl w:ilvl="7">
      <w:start w:val="1"/>
      <w:numFmt w:val="bullet"/>
      <w:lvlText w:val="o"/>
      <w:lvlJc w:val="left"/>
      <w:pPr>
        <w:ind w:left="4833" w:hanging="360"/>
      </w:pPr>
      <w:rPr>
        <w:rFonts w:ascii="Courier New" w:eastAsia="Courier New" w:hAnsi="Courier New" w:cs="Courier New"/>
      </w:rPr>
    </w:lvl>
    <w:lvl w:ilvl="8">
      <w:start w:val="1"/>
      <w:numFmt w:val="bullet"/>
      <w:lvlText w:val="▪"/>
      <w:lvlJc w:val="left"/>
      <w:pPr>
        <w:ind w:left="5553" w:hanging="360"/>
      </w:pPr>
      <w:rPr>
        <w:rFonts w:ascii="Noto Sans Symbols" w:eastAsia="Noto Sans Symbols" w:hAnsi="Noto Sans Symbols" w:cs="Noto Sans Symbols"/>
      </w:rPr>
    </w:lvl>
  </w:abstractNum>
  <w:abstractNum w:abstractNumId="4" w15:restartNumberingAfterBreak="0">
    <w:nsid w:val="37014F66"/>
    <w:multiLevelType w:val="hybridMultilevel"/>
    <w:tmpl w:val="6F0A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D35A4"/>
    <w:multiLevelType w:val="hybridMultilevel"/>
    <w:tmpl w:val="0E505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86579C"/>
    <w:multiLevelType w:val="hybridMultilevel"/>
    <w:tmpl w:val="DF38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86146A"/>
    <w:multiLevelType w:val="multilevel"/>
    <w:tmpl w:val="ABD45FC2"/>
    <w:lvl w:ilvl="0">
      <w:start w:val="1"/>
      <w:numFmt w:val="bullet"/>
      <w:lvlText w:val="•"/>
      <w:lvlJc w:val="left"/>
      <w:pPr>
        <w:ind w:left="3" w:hanging="570"/>
      </w:pPr>
      <w:rPr>
        <w:rFonts w:ascii="Calibri" w:eastAsia="Calibri" w:hAnsi="Calibri" w:cs="Calibri"/>
      </w:rPr>
    </w:lvl>
    <w:lvl w:ilvl="1">
      <w:start w:val="1"/>
      <w:numFmt w:val="bullet"/>
      <w:lvlText w:val="o"/>
      <w:lvlJc w:val="left"/>
      <w:pPr>
        <w:ind w:left="513" w:hanging="360"/>
      </w:pPr>
      <w:rPr>
        <w:rFonts w:ascii="Courier New" w:eastAsia="Courier New" w:hAnsi="Courier New" w:cs="Courier New"/>
      </w:rPr>
    </w:lvl>
    <w:lvl w:ilvl="2">
      <w:start w:val="1"/>
      <w:numFmt w:val="bullet"/>
      <w:lvlText w:val="▪"/>
      <w:lvlJc w:val="left"/>
      <w:pPr>
        <w:ind w:left="1233" w:hanging="360"/>
      </w:pPr>
      <w:rPr>
        <w:rFonts w:ascii="Noto Sans Symbols" w:eastAsia="Noto Sans Symbols" w:hAnsi="Noto Sans Symbols" w:cs="Noto Sans Symbols"/>
      </w:rPr>
    </w:lvl>
    <w:lvl w:ilvl="3">
      <w:start w:val="1"/>
      <w:numFmt w:val="bullet"/>
      <w:lvlText w:val="●"/>
      <w:lvlJc w:val="left"/>
      <w:pPr>
        <w:ind w:left="1953" w:hanging="360"/>
      </w:pPr>
      <w:rPr>
        <w:rFonts w:ascii="Noto Sans Symbols" w:eastAsia="Noto Sans Symbols" w:hAnsi="Noto Sans Symbols" w:cs="Noto Sans Symbols"/>
      </w:rPr>
    </w:lvl>
    <w:lvl w:ilvl="4">
      <w:start w:val="1"/>
      <w:numFmt w:val="bullet"/>
      <w:lvlText w:val="o"/>
      <w:lvlJc w:val="left"/>
      <w:pPr>
        <w:ind w:left="2673" w:hanging="360"/>
      </w:pPr>
      <w:rPr>
        <w:rFonts w:ascii="Courier New" w:eastAsia="Courier New" w:hAnsi="Courier New" w:cs="Courier New"/>
      </w:rPr>
    </w:lvl>
    <w:lvl w:ilvl="5">
      <w:start w:val="1"/>
      <w:numFmt w:val="bullet"/>
      <w:lvlText w:val="▪"/>
      <w:lvlJc w:val="left"/>
      <w:pPr>
        <w:ind w:left="3393" w:hanging="360"/>
      </w:pPr>
      <w:rPr>
        <w:rFonts w:ascii="Noto Sans Symbols" w:eastAsia="Noto Sans Symbols" w:hAnsi="Noto Sans Symbols" w:cs="Noto Sans Symbols"/>
      </w:rPr>
    </w:lvl>
    <w:lvl w:ilvl="6">
      <w:start w:val="1"/>
      <w:numFmt w:val="bullet"/>
      <w:lvlText w:val="●"/>
      <w:lvlJc w:val="left"/>
      <w:pPr>
        <w:ind w:left="4113" w:hanging="360"/>
      </w:pPr>
      <w:rPr>
        <w:rFonts w:ascii="Noto Sans Symbols" w:eastAsia="Noto Sans Symbols" w:hAnsi="Noto Sans Symbols" w:cs="Noto Sans Symbols"/>
      </w:rPr>
    </w:lvl>
    <w:lvl w:ilvl="7">
      <w:start w:val="1"/>
      <w:numFmt w:val="bullet"/>
      <w:lvlText w:val="o"/>
      <w:lvlJc w:val="left"/>
      <w:pPr>
        <w:ind w:left="4833" w:hanging="360"/>
      </w:pPr>
      <w:rPr>
        <w:rFonts w:ascii="Courier New" w:eastAsia="Courier New" w:hAnsi="Courier New" w:cs="Courier New"/>
      </w:rPr>
    </w:lvl>
    <w:lvl w:ilvl="8">
      <w:start w:val="1"/>
      <w:numFmt w:val="bullet"/>
      <w:lvlText w:val="▪"/>
      <w:lvlJc w:val="left"/>
      <w:pPr>
        <w:ind w:left="5553" w:hanging="360"/>
      </w:pPr>
      <w:rPr>
        <w:rFonts w:ascii="Noto Sans Symbols" w:eastAsia="Noto Sans Symbols" w:hAnsi="Noto Sans Symbols" w:cs="Noto Sans Symbols"/>
      </w:rPr>
    </w:lvl>
  </w:abstractNum>
  <w:abstractNum w:abstractNumId="8" w15:restartNumberingAfterBreak="0">
    <w:nsid w:val="602366A9"/>
    <w:multiLevelType w:val="hybridMultilevel"/>
    <w:tmpl w:val="6E5AF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D86BF0"/>
    <w:multiLevelType w:val="hybridMultilevel"/>
    <w:tmpl w:val="3252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2717C9"/>
    <w:multiLevelType w:val="hybridMultilevel"/>
    <w:tmpl w:val="74F8A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3"/>
  </w:num>
  <w:num w:numId="4">
    <w:abstractNumId w:val="5"/>
  </w:num>
  <w:num w:numId="5">
    <w:abstractNumId w:val="8"/>
  </w:num>
  <w:num w:numId="6">
    <w:abstractNumId w:val="0"/>
  </w:num>
  <w:num w:numId="7">
    <w:abstractNumId w:val="2"/>
  </w:num>
  <w:num w:numId="8">
    <w:abstractNumId w:val="6"/>
  </w:num>
  <w:num w:numId="9">
    <w:abstractNumId w:val="4"/>
  </w:num>
  <w:num w:numId="10">
    <w:abstractNumId w:val="1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829"/>
    <w:rsid w:val="00025880"/>
    <w:rsid w:val="00037E0B"/>
    <w:rsid w:val="00061373"/>
    <w:rsid w:val="000D17CD"/>
    <w:rsid w:val="001053B2"/>
    <w:rsid w:val="00126C4B"/>
    <w:rsid w:val="0014671D"/>
    <w:rsid w:val="001604BD"/>
    <w:rsid w:val="00193CDD"/>
    <w:rsid w:val="001C020F"/>
    <w:rsid w:val="002851E0"/>
    <w:rsid w:val="002C2C71"/>
    <w:rsid w:val="003355E4"/>
    <w:rsid w:val="00374657"/>
    <w:rsid w:val="003B1256"/>
    <w:rsid w:val="003B4ED0"/>
    <w:rsid w:val="003C299A"/>
    <w:rsid w:val="003D0EFD"/>
    <w:rsid w:val="00441E8A"/>
    <w:rsid w:val="00466D5B"/>
    <w:rsid w:val="00467915"/>
    <w:rsid w:val="00483C5F"/>
    <w:rsid w:val="004B31FB"/>
    <w:rsid w:val="0051035B"/>
    <w:rsid w:val="00526F84"/>
    <w:rsid w:val="0053626D"/>
    <w:rsid w:val="0054546E"/>
    <w:rsid w:val="00561829"/>
    <w:rsid w:val="00561DB6"/>
    <w:rsid w:val="00581A3D"/>
    <w:rsid w:val="00584A6A"/>
    <w:rsid w:val="005A3ABD"/>
    <w:rsid w:val="005D4B5E"/>
    <w:rsid w:val="0069150A"/>
    <w:rsid w:val="006B333D"/>
    <w:rsid w:val="006C1DE6"/>
    <w:rsid w:val="006C4A6B"/>
    <w:rsid w:val="006C7FFA"/>
    <w:rsid w:val="006D51DE"/>
    <w:rsid w:val="00701E60"/>
    <w:rsid w:val="0070698F"/>
    <w:rsid w:val="007160F1"/>
    <w:rsid w:val="00752E12"/>
    <w:rsid w:val="007735BF"/>
    <w:rsid w:val="00796FDC"/>
    <w:rsid w:val="00847091"/>
    <w:rsid w:val="008947C0"/>
    <w:rsid w:val="008B5CAF"/>
    <w:rsid w:val="008F0864"/>
    <w:rsid w:val="009142C0"/>
    <w:rsid w:val="00933F91"/>
    <w:rsid w:val="00934D0A"/>
    <w:rsid w:val="00955490"/>
    <w:rsid w:val="00977C11"/>
    <w:rsid w:val="00990A78"/>
    <w:rsid w:val="009C103B"/>
    <w:rsid w:val="009F0FCF"/>
    <w:rsid w:val="00A43852"/>
    <w:rsid w:val="00A50D83"/>
    <w:rsid w:val="00A562B1"/>
    <w:rsid w:val="00A72638"/>
    <w:rsid w:val="00AE0CFB"/>
    <w:rsid w:val="00AE682A"/>
    <w:rsid w:val="00B317AD"/>
    <w:rsid w:val="00B54C29"/>
    <w:rsid w:val="00B567C8"/>
    <w:rsid w:val="00B73662"/>
    <w:rsid w:val="00B76942"/>
    <w:rsid w:val="00BA1C9A"/>
    <w:rsid w:val="00BB1655"/>
    <w:rsid w:val="00C55F11"/>
    <w:rsid w:val="00C57C7D"/>
    <w:rsid w:val="00CD062D"/>
    <w:rsid w:val="00CD0F9A"/>
    <w:rsid w:val="00D16580"/>
    <w:rsid w:val="00D31303"/>
    <w:rsid w:val="00D31D12"/>
    <w:rsid w:val="00D37524"/>
    <w:rsid w:val="00D422E6"/>
    <w:rsid w:val="00D71EC5"/>
    <w:rsid w:val="00D83511"/>
    <w:rsid w:val="00DF1061"/>
    <w:rsid w:val="00E64191"/>
    <w:rsid w:val="00E64DEE"/>
    <w:rsid w:val="00E76C6E"/>
    <w:rsid w:val="00EB29F1"/>
    <w:rsid w:val="00EC7889"/>
    <w:rsid w:val="00ED30A4"/>
    <w:rsid w:val="00F265EC"/>
    <w:rsid w:val="00F6486B"/>
    <w:rsid w:val="00F917F0"/>
    <w:rsid w:val="00F93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03781429"/>
  <w15:docId w15:val="{37507A37-70D1-425D-989A-3F92F273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B333D"/>
  </w:style>
  <w:style w:type="paragraph" w:styleId="Heading1">
    <w:name w:val="heading 1"/>
    <w:basedOn w:val="Normal"/>
    <w:next w:val="Normal"/>
    <w:rsid w:val="006B333D"/>
    <w:pPr>
      <w:keepNext/>
      <w:keepLines/>
      <w:spacing w:before="480" w:after="120"/>
      <w:outlineLvl w:val="0"/>
    </w:pPr>
    <w:rPr>
      <w:b/>
      <w:sz w:val="48"/>
      <w:szCs w:val="48"/>
    </w:rPr>
  </w:style>
  <w:style w:type="paragraph" w:styleId="Heading2">
    <w:name w:val="heading 2"/>
    <w:basedOn w:val="Normal"/>
    <w:next w:val="Normal"/>
    <w:rsid w:val="006B333D"/>
    <w:pPr>
      <w:keepNext/>
      <w:keepLines/>
      <w:spacing w:before="360" w:after="80"/>
      <w:outlineLvl w:val="1"/>
    </w:pPr>
    <w:rPr>
      <w:b/>
      <w:sz w:val="36"/>
      <w:szCs w:val="36"/>
    </w:rPr>
  </w:style>
  <w:style w:type="paragraph" w:styleId="Heading3">
    <w:name w:val="heading 3"/>
    <w:basedOn w:val="Normal"/>
    <w:next w:val="Normal"/>
    <w:rsid w:val="006B333D"/>
    <w:pPr>
      <w:keepNext/>
      <w:keepLines/>
      <w:spacing w:before="280" w:after="80"/>
      <w:outlineLvl w:val="2"/>
    </w:pPr>
    <w:rPr>
      <w:b/>
      <w:sz w:val="28"/>
      <w:szCs w:val="28"/>
    </w:rPr>
  </w:style>
  <w:style w:type="paragraph" w:styleId="Heading4">
    <w:name w:val="heading 4"/>
    <w:basedOn w:val="Normal"/>
    <w:next w:val="Normal"/>
    <w:rsid w:val="006B333D"/>
    <w:pPr>
      <w:keepNext/>
      <w:keepLines/>
      <w:spacing w:before="240" w:after="40"/>
      <w:outlineLvl w:val="3"/>
    </w:pPr>
    <w:rPr>
      <w:b/>
    </w:rPr>
  </w:style>
  <w:style w:type="paragraph" w:styleId="Heading5">
    <w:name w:val="heading 5"/>
    <w:basedOn w:val="Normal"/>
    <w:next w:val="Normal"/>
    <w:rsid w:val="006B333D"/>
    <w:pPr>
      <w:keepNext/>
      <w:keepLines/>
      <w:spacing w:before="220" w:after="40"/>
      <w:outlineLvl w:val="4"/>
    </w:pPr>
    <w:rPr>
      <w:b/>
      <w:sz w:val="22"/>
      <w:szCs w:val="22"/>
    </w:rPr>
  </w:style>
  <w:style w:type="paragraph" w:styleId="Heading6">
    <w:name w:val="heading 6"/>
    <w:basedOn w:val="Normal"/>
    <w:next w:val="Normal"/>
    <w:rsid w:val="006B333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B333D"/>
    <w:pPr>
      <w:keepNext/>
      <w:keepLines/>
      <w:spacing w:before="480" w:after="120"/>
    </w:pPr>
    <w:rPr>
      <w:b/>
      <w:sz w:val="72"/>
      <w:szCs w:val="72"/>
    </w:rPr>
  </w:style>
  <w:style w:type="paragraph" w:styleId="Subtitle">
    <w:name w:val="Subtitle"/>
    <w:basedOn w:val="Normal"/>
    <w:next w:val="Normal"/>
    <w:rsid w:val="006B333D"/>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6B333D"/>
    <w:rPr>
      <w:sz w:val="20"/>
      <w:szCs w:val="20"/>
    </w:rPr>
  </w:style>
  <w:style w:type="character" w:customStyle="1" w:styleId="CommentTextChar">
    <w:name w:val="Comment Text Char"/>
    <w:basedOn w:val="DefaultParagraphFont"/>
    <w:link w:val="CommentText"/>
    <w:uiPriority w:val="99"/>
    <w:semiHidden/>
    <w:rsid w:val="006B333D"/>
    <w:rPr>
      <w:sz w:val="20"/>
      <w:szCs w:val="20"/>
    </w:rPr>
  </w:style>
  <w:style w:type="character" w:styleId="CommentReference">
    <w:name w:val="annotation reference"/>
    <w:basedOn w:val="DefaultParagraphFont"/>
    <w:uiPriority w:val="99"/>
    <w:semiHidden/>
    <w:unhideWhenUsed/>
    <w:rsid w:val="006B333D"/>
    <w:rPr>
      <w:sz w:val="16"/>
      <w:szCs w:val="16"/>
    </w:rPr>
  </w:style>
  <w:style w:type="paragraph" w:styleId="BalloonText">
    <w:name w:val="Balloon Text"/>
    <w:basedOn w:val="Normal"/>
    <w:link w:val="BalloonTextChar"/>
    <w:uiPriority w:val="99"/>
    <w:semiHidden/>
    <w:unhideWhenUsed/>
    <w:rsid w:val="00AE0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FB"/>
    <w:rPr>
      <w:rFonts w:ascii="Segoe UI" w:hAnsi="Segoe UI" w:cs="Segoe UI"/>
      <w:sz w:val="18"/>
      <w:szCs w:val="18"/>
    </w:rPr>
  </w:style>
  <w:style w:type="paragraph" w:styleId="Header">
    <w:name w:val="header"/>
    <w:basedOn w:val="Normal"/>
    <w:link w:val="HeaderChar"/>
    <w:uiPriority w:val="99"/>
    <w:unhideWhenUsed/>
    <w:rsid w:val="00AE0CFB"/>
    <w:pPr>
      <w:tabs>
        <w:tab w:val="center" w:pos="4680"/>
        <w:tab w:val="right" w:pos="9360"/>
      </w:tabs>
    </w:pPr>
  </w:style>
  <w:style w:type="character" w:customStyle="1" w:styleId="HeaderChar">
    <w:name w:val="Header Char"/>
    <w:basedOn w:val="DefaultParagraphFont"/>
    <w:link w:val="Header"/>
    <w:uiPriority w:val="99"/>
    <w:rsid w:val="00AE0CFB"/>
  </w:style>
  <w:style w:type="paragraph" w:styleId="Footer">
    <w:name w:val="footer"/>
    <w:basedOn w:val="Normal"/>
    <w:link w:val="FooterChar"/>
    <w:uiPriority w:val="99"/>
    <w:unhideWhenUsed/>
    <w:rsid w:val="00AE0CFB"/>
    <w:pPr>
      <w:tabs>
        <w:tab w:val="center" w:pos="4680"/>
        <w:tab w:val="right" w:pos="9360"/>
      </w:tabs>
    </w:pPr>
  </w:style>
  <w:style w:type="character" w:customStyle="1" w:styleId="FooterChar">
    <w:name w:val="Footer Char"/>
    <w:basedOn w:val="DefaultParagraphFont"/>
    <w:link w:val="Footer"/>
    <w:uiPriority w:val="99"/>
    <w:rsid w:val="00AE0CFB"/>
  </w:style>
  <w:style w:type="paragraph" w:styleId="CommentSubject">
    <w:name w:val="annotation subject"/>
    <w:basedOn w:val="CommentText"/>
    <w:next w:val="CommentText"/>
    <w:link w:val="CommentSubjectChar"/>
    <w:uiPriority w:val="99"/>
    <w:semiHidden/>
    <w:unhideWhenUsed/>
    <w:rsid w:val="00AE0CFB"/>
    <w:rPr>
      <w:b/>
      <w:bCs/>
    </w:rPr>
  </w:style>
  <w:style w:type="character" w:customStyle="1" w:styleId="CommentSubjectChar">
    <w:name w:val="Comment Subject Char"/>
    <w:basedOn w:val="CommentTextChar"/>
    <w:link w:val="CommentSubject"/>
    <w:uiPriority w:val="99"/>
    <w:semiHidden/>
    <w:rsid w:val="00AE0CFB"/>
    <w:rPr>
      <w:b/>
      <w:bCs/>
      <w:sz w:val="20"/>
      <w:szCs w:val="20"/>
    </w:rPr>
  </w:style>
  <w:style w:type="character" w:styleId="Hyperlink">
    <w:name w:val="Hyperlink"/>
    <w:basedOn w:val="DefaultParagraphFont"/>
    <w:uiPriority w:val="99"/>
    <w:unhideWhenUsed/>
    <w:rsid w:val="008B5CAF"/>
    <w:rPr>
      <w:color w:val="0563C1" w:themeColor="hyperlink"/>
      <w:u w:val="single"/>
    </w:rPr>
  </w:style>
  <w:style w:type="character" w:customStyle="1" w:styleId="UnresolvedMention1">
    <w:name w:val="Unresolved Mention1"/>
    <w:basedOn w:val="DefaultParagraphFont"/>
    <w:uiPriority w:val="99"/>
    <w:semiHidden/>
    <w:unhideWhenUsed/>
    <w:rsid w:val="00584A6A"/>
    <w:rPr>
      <w:color w:val="808080"/>
      <w:shd w:val="clear" w:color="auto" w:fill="E6E6E6"/>
    </w:rPr>
  </w:style>
  <w:style w:type="paragraph" w:customStyle="1" w:styleId="ColorfulList-Accent11">
    <w:name w:val="Colorful List - Accent 11"/>
    <w:basedOn w:val="Normal"/>
    <w:uiPriority w:val="99"/>
    <w:qFormat/>
    <w:rsid w:val="00584A6A"/>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pPr>
    <w:rPr>
      <w:rFonts w:ascii="Times New Roman" w:eastAsia="Arial Unicode MS" w:hAnsi="Times New Roman" w:cs="Calibri"/>
      <w:color w:val="auto"/>
      <w:kern w:val="1"/>
      <w:sz w:val="22"/>
      <w:szCs w:val="22"/>
      <w:lang w:val="en-US" w:eastAsia="hi-IN" w:bidi="hi-IN"/>
    </w:rPr>
  </w:style>
  <w:style w:type="paragraph" w:styleId="ListParagraph">
    <w:name w:val="List Paragraph"/>
    <w:basedOn w:val="Normal"/>
    <w:uiPriority w:val="34"/>
    <w:qFormat/>
    <w:rsid w:val="006D51DE"/>
    <w:pPr>
      <w:pBdr>
        <w:top w:val="none" w:sz="0" w:space="0" w:color="auto"/>
        <w:left w:val="none" w:sz="0" w:space="0" w:color="auto"/>
        <w:bottom w:val="none" w:sz="0" w:space="0" w:color="auto"/>
        <w:right w:val="none" w:sz="0" w:space="0" w:color="auto"/>
        <w:between w:val="none" w:sz="0" w:space="0" w:color="auto"/>
      </w:pBdr>
      <w:ind w:left="720"/>
      <w:contextualSpacing/>
    </w:pPr>
    <w:rPr>
      <w:rFonts w:ascii="Times New Roman" w:eastAsia="Times New Roman" w:hAnsi="Times New Roman" w:cs="Times New Roman"/>
      <w:color w:val="auto"/>
      <w:lang w:val="en-US"/>
    </w:rPr>
  </w:style>
  <w:style w:type="character" w:styleId="FollowedHyperlink">
    <w:name w:val="FollowedHyperlink"/>
    <w:basedOn w:val="DefaultParagraphFont"/>
    <w:uiPriority w:val="99"/>
    <w:semiHidden/>
    <w:unhideWhenUsed/>
    <w:rsid w:val="00EC7889"/>
    <w:rPr>
      <w:color w:val="954F72" w:themeColor="followedHyperlink"/>
      <w:u w:val="single"/>
    </w:rPr>
  </w:style>
  <w:style w:type="character" w:customStyle="1" w:styleId="UnresolvedMention2">
    <w:name w:val="Unresolved Mention2"/>
    <w:basedOn w:val="DefaultParagraphFont"/>
    <w:uiPriority w:val="99"/>
    <w:semiHidden/>
    <w:unhideWhenUsed/>
    <w:rsid w:val="00B567C8"/>
    <w:rPr>
      <w:color w:val="808080"/>
      <w:shd w:val="clear" w:color="auto" w:fill="E6E6E6"/>
    </w:rPr>
  </w:style>
  <w:style w:type="character" w:customStyle="1" w:styleId="UnresolvedMention3">
    <w:name w:val="Unresolved Mention3"/>
    <w:basedOn w:val="DefaultParagraphFont"/>
    <w:uiPriority w:val="99"/>
    <w:semiHidden/>
    <w:unhideWhenUsed/>
    <w:rsid w:val="00126C4B"/>
    <w:rPr>
      <w:color w:val="808080"/>
      <w:shd w:val="clear" w:color="auto" w:fill="E6E6E6"/>
    </w:rPr>
  </w:style>
  <w:style w:type="character" w:styleId="UnresolvedMention">
    <w:name w:val="Unresolved Mention"/>
    <w:basedOn w:val="DefaultParagraphFont"/>
    <w:uiPriority w:val="99"/>
    <w:semiHidden/>
    <w:unhideWhenUsed/>
    <w:rsid w:val="00F93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16221">
      <w:bodyDiv w:val="1"/>
      <w:marLeft w:val="0"/>
      <w:marRight w:val="0"/>
      <w:marTop w:val="0"/>
      <w:marBottom w:val="0"/>
      <w:divBdr>
        <w:top w:val="none" w:sz="0" w:space="0" w:color="auto"/>
        <w:left w:val="none" w:sz="0" w:space="0" w:color="auto"/>
        <w:bottom w:val="none" w:sz="0" w:space="0" w:color="auto"/>
        <w:right w:val="none" w:sz="0" w:space="0" w:color="auto"/>
      </w:divBdr>
    </w:div>
    <w:div w:id="1554586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rnell.com/" TargetMode="External"/><Relationship Id="rId13" Type="http://schemas.openxmlformats.org/officeDocument/2006/relationships/hyperlink" Target="http://uk.farnell.com/weller/t0053298699/soldering-station-70w-120vac-450deg/dp/2851721" TargetMode="External"/><Relationship Id="rId18" Type="http://schemas.openxmlformats.org/officeDocument/2006/relationships/hyperlink" Target="http://www.farnell.com/datasheets/2607102.pdf?_ga=2.42910246.2066197955.1526982545-2141761902.1525437556" TargetMode="External"/><Relationship Id="rId26" Type="http://schemas.openxmlformats.org/officeDocument/2006/relationships/hyperlink" Target="http://www.element14.com/new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arnell.com" TargetMode="External"/><Relationship Id="rId34" Type="http://schemas.openxmlformats.org/officeDocument/2006/relationships/hyperlink" Target="http://www.premierfarnell.com" TargetMode="External"/><Relationship Id="rId7" Type="http://schemas.openxmlformats.org/officeDocument/2006/relationships/endnotes" Target="endnotes.xml"/><Relationship Id="rId12" Type="http://schemas.openxmlformats.org/officeDocument/2006/relationships/hyperlink" Target="http://uk.farnell.com/w/c/test-measurement/bench-power-supplies-sources-loads/bench-top-power-supplies?product-range=hmp-series" TargetMode="External"/><Relationship Id="rId17" Type="http://schemas.openxmlformats.org/officeDocument/2006/relationships/hyperlink" Target="http://uk.farnell.com/rohde-schwarz/r-s-fpc-p1tg-fpc1500/spectrum-analyser-w-tg-bench-5khz/dp/2858768?st=FPC1500" TargetMode="External"/><Relationship Id="rId25" Type="http://schemas.openxmlformats.org/officeDocument/2006/relationships/hyperlink" Target="http://uk.farnell.com/search?st=R%26S%20HMP%20power%20supply" TargetMode="External"/><Relationship Id="rId33" Type="http://schemas.openxmlformats.org/officeDocument/2006/relationships/hyperlink" Target="http://cpc.farnell.co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arnell.com/datasheets/2607098.pdf?_ga=2.143434294.2066197955.1526982545-2141761902.1525437556" TargetMode="External"/><Relationship Id="rId20" Type="http://schemas.openxmlformats.org/officeDocument/2006/relationships/hyperlink" Target="http://www.farnell.com/datasheets/2581339.pdf?_ga=2.78023319.2066197955.1526982545-2141761902.1525437556" TargetMode="External"/><Relationship Id="rId29" Type="http://schemas.openxmlformats.org/officeDocument/2006/relationships/hyperlink" Target="https://ir.avne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farnell.com/c/test-measurement/rf-test-equipment/spectrum-analysers?product-range=fpc-series" TargetMode="External"/><Relationship Id="rId24" Type="http://schemas.openxmlformats.org/officeDocument/2006/relationships/hyperlink" Target="http://uk.farnell.com/keithley/daq6510/data-acquisition-logging-tft-wvga/dp/2852962?st=keithley%20DAQ6510" TargetMode="External"/><Relationship Id="rId32" Type="http://schemas.openxmlformats.org/officeDocument/2006/relationships/hyperlink" Target="http://sg.element14.co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k.farnell.com/keithley/daq6510/data-acquisition-logging-tft-wvga/dp/2852962?st=keithley%20DAQ6510" TargetMode="External"/><Relationship Id="rId23" Type="http://schemas.openxmlformats.org/officeDocument/2006/relationships/hyperlink" Target="htpp://sg.element14.com" TargetMode="External"/><Relationship Id="rId28" Type="http://schemas.openxmlformats.org/officeDocument/2006/relationships/hyperlink" Target="http://www.premierfarnell.com/" TargetMode="External"/><Relationship Id="rId36" Type="http://schemas.openxmlformats.org/officeDocument/2006/relationships/hyperlink" Target="mailto:hsmart@premierfarnell.com" TargetMode="External"/><Relationship Id="rId10" Type="http://schemas.openxmlformats.org/officeDocument/2006/relationships/hyperlink" Target="http://uk.farnell.com/keithley/daq6510/data-acquisition-logging-tft-wvga/dp/2852962?st=DAQ6510" TargetMode="External"/><Relationship Id="rId19" Type="http://schemas.openxmlformats.org/officeDocument/2006/relationships/hyperlink" Target="http://uk.farnell.com/search?st=R%26S%20HMP%20power%20supply" TargetMode="External"/><Relationship Id="rId31" Type="http://schemas.openxmlformats.org/officeDocument/2006/relationships/hyperlink" Target="http://www.newark.com/" TargetMode="External"/><Relationship Id="rId4" Type="http://schemas.openxmlformats.org/officeDocument/2006/relationships/settings" Target="settings.xml"/><Relationship Id="rId9" Type="http://schemas.openxmlformats.org/officeDocument/2006/relationships/hyperlink" Target="http://uk.farnell.com/weller/t0053298699/soldering-station-70w-120vac-450deg/dp/2851721" TargetMode="External"/><Relationship Id="rId14" Type="http://schemas.openxmlformats.org/officeDocument/2006/relationships/hyperlink" Target="http://www.farnell.com/datasheets/2599604.pdf?_ga=2.144614710.2066197955.1526982545-2141761902.1525437556" TargetMode="External"/><Relationship Id="rId22" Type="http://schemas.openxmlformats.org/officeDocument/2006/relationships/hyperlink" Target="http://www.newark.com" TargetMode="External"/><Relationship Id="rId27" Type="http://schemas.openxmlformats.org/officeDocument/2006/relationships/hyperlink" Target="http://farnell.com/" TargetMode="External"/><Relationship Id="rId30" Type="http://schemas.openxmlformats.org/officeDocument/2006/relationships/hyperlink" Target="http://uk.farnell.com/" TargetMode="External"/><Relationship Id="rId35" Type="http://schemas.openxmlformats.org/officeDocument/2006/relationships/hyperlink" Target="mailto:Freya@napierb2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71E7E-8868-4B4D-8902-27AA29A3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Ashton</dc:creator>
  <cp:lastModifiedBy>Clare Nicholson</cp:lastModifiedBy>
  <cp:revision>11</cp:revision>
  <dcterms:created xsi:type="dcterms:W3CDTF">2018-05-23T08:58:00Z</dcterms:created>
  <dcterms:modified xsi:type="dcterms:W3CDTF">2018-06-19T14:04:00Z</dcterms:modified>
</cp:coreProperties>
</file>