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FE9C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</w:pPr>
    </w:p>
    <w:p w14:paraId="0F5B4CB3" w14:textId="48043012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</w:pPr>
      <w:r w:rsidRPr="00434995"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  <w:t xml:space="preserve">Farnell </w:t>
      </w:r>
      <w:r w:rsidR="00AF2963" w:rsidRPr="00434995"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  <w:t xml:space="preserve">element14 </w:t>
      </w:r>
      <w:r w:rsidRPr="00434995"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  <w:t>poszerza ofertę aparatury testowo-pomiarowej inwestując w nowe produkty</w:t>
      </w:r>
    </w:p>
    <w:p w14:paraId="3C9A3409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</w:pPr>
    </w:p>
    <w:p w14:paraId="02CB2247" w14:textId="0C1E8DF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434995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Leeds, Wielka Brytania, 20 czerwca 2018 r. </w:t>
      </w: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– </w:t>
      </w:r>
      <w:hyperlink r:id="rId8" w:history="1">
        <w:r w:rsidR="00AF2963" w:rsidRPr="00434995">
          <w:rPr>
            <w:rStyle w:val="Hyperlink"/>
            <w:rFonts w:ascii="Arial" w:eastAsia="Cambria" w:hAnsi="Arial" w:cs="Arial"/>
            <w:kern w:val="0"/>
            <w:lang w:val="pl-PL" w:eastAsia="en-US" w:bidi="ar-SA"/>
          </w:rPr>
          <w:t>Farnell element14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, Dystrybutor Rozwiązań Rozwojowych, poszerzył swoją ofertę aparatury testowo-pomiarowej, powiększając zaopatrzenie swoich magazynów o nowe produkty firm Weller, Tektronix i Rohde &amp; Schwarz. Do nowowprowadzonych urządzeń i narzędzi należą m.in.: stacja lutownicza </w:t>
      </w:r>
      <w:hyperlink r:id="rId9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Weller WE 1010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, multimetr z funkcjami akwizycji i rejestracji danych </w:t>
      </w:r>
      <w:hyperlink r:id="rId10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Tektronix DAQ6510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, analizator widma </w:t>
      </w:r>
      <w:hyperlink r:id="rId11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Rohde &amp; Schwarz R&amp;S® FPC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oraz rodzina zasilaczy </w:t>
      </w:r>
      <w:hyperlink r:id="rId12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R&amp;S® HMP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>.</w:t>
      </w:r>
    </w:p>
    <w:p w14:paraId="45EEAB93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7038FF91" w14:textId="0479F5CC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>W ciągu ostatnich 12 miesięcy koncern Farnell</w:t>
      </w:r>
      <w:r w:rsidR="00AF2963"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element14</w:t>
      </w: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poniósł znaczące inwestycje, dzięki którym poszerzył swoją ofertę i zwiększył zaopatrzenie swoich magazynów, w efekcie czego ma teraz najszerszy na rynku zaawansowanych usług dystrybucyjnych wybór aparatury testowo-pomiarowej, dostępnej wprost z własnych centrów dystrybucyjnych. „Inwestycje, jakie poczyniliśmy w minionym roku znacząco wzmocniły ofertę kierowaną do naszych klientów.” – powiedział </w:t>
      </w:r>
      <w:r w:rsidRPr="00434995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James McGregor, He</w:t>
      </w:r>
      <w:bookmarkStart w:id="0" w:name="_GoBack"/>
      <w:bookmarkEnd w:id="0"/>
      <w:r w:rsidRPr="00434995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ad of Test and Tools w Premier Farnell i Farnell element14</w:t>
      </w: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>. „Nasz wybór aparatury testowo-pomiarowej obejmuje teraz wszystko, począwszy od niedrogich urządzeń dla inżynierów, których budżet jest silnie ograniczony, aż po zaawansowany, profesjonalny sprzęt z najwyższej półki.”</w:t>
      </w:r>
    </w:p>
    <w:p w14:paraId="55B1545C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0EFE42D6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>Nowe produkty, ostatnio dodane do oferty Farnell element14 obejmują:</w:t>
      </w:r>
    </w:p>
    <w:p w14:paraId="4B56D76B" w14:textId="77777777" w:rsidR="002D781F" w:rsidRPr="00434995" w:rsidRDefault="00434995" w:rsidP="002D78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  <w:hyperlink r:id="rId13" w:history="1">
        <w:r w:rsidR="002D781F" w:rsidRPr="00434995">
          <w:rPr>
            <w:rFonts w:ascii="Arial" w:eastAsia="Times New Roman" w:hAnsi="Arial" w:cs="Arial"/>
            <w:bCs/>
            <w:color w:val="0000FF"/>
            <w:kern w:val="0"/>
            <w:u w:val="single"/>
            <w:lang w:val="pl-PL" w:eastAsia="en-US" w:bidi="ar-SA"/>
          </w:rPr>
          <w:t>Stacja lutownicza Weller WE 1010</w:t>
        </w:r>
      </w:hyperlink>
      <w:r w:rsidR="002D781F" w:rsidRPr="00434995">
        <w:rPr>
          <w:rFonts w:ascii="Arial" w:eastAsia="Times New Roman" w:hAnsi="Arial" w:cs="Arial"/>
          <w:b/>
          <w:bCs/>
          <w:kern w:val="0"/>
          <w:lang w:val="pl-PL" w:eastAsia="en-US" w:bidi="ar-SA"/>
        </w:rPr>
        <w:t>:</w:t>
      </w:r>
      <w:r w:rsidR="002D781F" w:rsidRPr="00434995">
        <w:rPr>
          <w:rFonts w:ascii="Arial" w:eastAsia="Times New Roman" w:hAnsi="Arial" w:cs="Arial"/>
          <w:bCs/>
          <w:kern w:val="0"/>
          <w:lang w:val="pl-PL" w:eastAsia="en-US" w:bidi="ar-SA"/>
        </w:rPr>
        <w:t xml:space="preserve"> ta cyfro</w:t>
      </w:r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 xml:space="preserve">wa stacja lutownicza o mocy 70 W ma o 40% większą moc niż dostępne na rynku urządzenia konkurencyjne. Dzięki temu grot szybciej nagrzewa się i wraca do zasadnej temperatury, a to oznacza, że lutowanie można wykonać w krótszym czasie, bardziej efektywnie oraz z większą precyzją. Stację tę zaprojektowano specjalnie z myślą o zastosowaniach edukacyjnych i rynku konsumenckim oraz o prostych zastosowaniach profesjonalnych. Zaimplementowano w niej wiele zaawansowanych funkcji programowych, spotykanych w profesjonalnych stacjach, a mimo to stacja jest prosta w użyciu i niedroga. Komplet danych technicznych na jej temat jest dostępny </w:t>
      </w:r>
      <w:hyperlink r:id="rId14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tutaj</w:t>
        </w:r>
      </w:hyperlink>
      <w:r w:rsidR="002D781F" w:rsidRPr="00434995">
        <w:rPr>
          <w:rFonts w:ascii="Arial" w:eastAsia="Times New Roman" w:hAnsi="Arial" w:cs="Arial"/>
          <w:color w:val="0000FF"/>
          <w:kern w:val="0"/>
          <w:lang w:val="pl-PL" w:eastAsia="en-US" w:bidi="ar-SA"/>
        </w:rPr>
        <w:t>.</w:t>
      </w:r>
    </w:p>
    <w:p w14:paraId="5D930F3E" w14:textId="77777777" w:rsidR="002D781F" w:rsidRPr="00434995" w:rsidRDefault="007E5DD1" w:rsidP="002D78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  <w:hyperlink r:id="rId15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Multimetr z funkcjami akwizycji i rejestracji danych Keithley DAQ6510</w:t>
        </w:r>
      </w:hyperlink>
      <w:r w:rsidR="002D781F" w:rsidRPr="00434995">
        <w:rPr>
          <w:rFonts w:ascii="Arial" w:eastAsia="Times New Roman" w:hAnsi="Arial" w:cs="Arial"/>
          <w:b/>
          <w:kern w:val="0"/>
          <w:lang w:val="pl-PL" w:eastAsia="en-US" w:bidi="ar-SA"/>
        </w:rPr>
        <w:t>*:</w:t>
      </w:r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 xml:space="preserve"> to precyzyjny system akwizycji i rejestracji danych, który wprowadza nową jakość w zakresie prostoty użytkowania, w porównaniu do często bardzo skomplikowanych w konfiguracji i użyciu, samodzielnych rozwiązań tego typu. Dzięki 12 modułom sterująco-kontrolnym oraz dwóm gniazdom na te moduły, użytkownicy mogą tworzyć multipleksowane konfiguracje, które pozwalają mierzyć lub sterować pracą do 80 urządzeń jednocześnie. Dwa moduły po 6 x 8 wyprowadzeń dają w sumie 96 punktów, do których można jednocześnie podłączyć sygnały z jednego lub wielu układów scalonych. W przypadku, gdy testowanie ma się odbywać na linii produkcji seryjnej, warto sięgnąć po dostępny moduł półprzewodnikowego multipleksera, pozwalający na maksymalizację przepustowości pomiarowej i zminimalizowanie czasu przełączania pomiędzy sygnałami. Moduł ten jest w stanie skanować kanały pomiarowe w szybkością 800 kanałów na sekundę. Duży, 5-calowy (przekątna 127 mm) wyświetlacz z ekranem dotykowym i obsługą wielu punktów dotyku jednocześnie prowadzi użytkownika przez kolejne kroki potrzebne do skonfigurowania urządzenia, wizualizacji danych i analizy. Sprawia to, że komputer PC i specjalne oprogramowanie stają się niepotrzebne w wielu aplikacjach. W przypadku użytkowników, którzy preferują lub musza korzystać z komputera PC, dostępne są sterowniki IVI i LabVIEW oraz oprogramowanie sterujące aparaturą Keithley KickStart. Komplet szczegółowych informacji na temat produktu dostępny jest </w:t>
      </w:r>
      <w:hyperlink r:id="rId16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tutaj</w:t>
        </w:r>
      </w:hyperlink>
      <w:r w:rsidR="002D781F" w:rsidRPr="00434995">
        <w:rPr>
          <w:rFonts w:ascii="Arial" w:eastAsia="Times New Roman" w:hAnsi="Arial" w:cs="Arial"/>
          <w:color w:val="0000FF"/>
          <w:kern w:val="0"/>
          <w:lang w:val="pl-PL" w:eastAsia="en-US" w:bidi="ar-SA"/>
        </w:rPr>
        <w:t>.</w:t>
      </w:r>
    </w:p>
    <w:p w14:paraId="6DBCA286" w14:textId="77777777" w:rsidR="002D781F" w:rsidRPr="00434995" w:rsidRDefault="002D781F" w:rsidP="002D781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</w:p>
    <w:p w14:paraId="2905AFAE" w14:textId="77777777" w:rsidR="002D781F" w:rsidRPr="00434995" w:rsidRDefault="002D781F" w:rsidP="002D781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</w:p>
    <w:p w14:paraId="5A316693" w14:textId="77777777" w:rsidR="002D781F" w:rsidRPr="00434995" w:rsidRDefault="002D781F" w:rsidP="002D781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</w:p>
    <w:p w14:paraId="3438F05E" w14:textId="77777777" w:rsidR="002D781F" w:rsidRPr="00434995" w:rsidRDefault="007E5DD1" w:rsidP="002D78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  <w:hyperlink r:id="rId17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Analizator widma Rohde &amp; Schwarz® FPC1500</w:t>
        </w:r>
      </w:hyperlink>
      <w:r w:rsidR="002D781F" w:rsidRPr="00434995">
        <w:rPr>
          <w:rFonts w:ascii="Arial" w:eastAsia="Times New Roman" w:hAnsi="Arial" w:cs="Arial"/>
          <w:b/>
          <w:kern w:val="0"/>
          <w:lang w:val="pl-PL" w:eastAsia="en-US" w:bidi="ar-SA"/>
        </w:rPr>
        <w:t xml:space="preserve">: </w:t>
      </w:r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 xml:space="preserve">urządzenie to łączy w jednej obudowie funkcje analizatora widma, analizatora sieciowego i generatora sygnałów. W efekcie stanowi rozwiązanie zarówno bardzo korzystne cenowo, jak i niezwykle wydajne, szczególnie w porównaniu do innych produktów z tej niewygórowanej półki cenowej. Świetnie się sprawdza w laboratoriach uniwersyteckich, instytucjach naukowo-badawczych, ale też w środowisku produkcyjnym i w zakładach naprawczych. Ma najniższy poziom szumów w swojej klasie, tj. 165 dBm oraz prezentuje wyniki pomiarów na wbudowanym, 10,1-calowym wyświetlaczu WXGA, na którym uzyskiwana rozdzielczość pozwala na odczyty z dokładnością do 1 Hz w dziedzinie częstotliwości. Warto dodać, że FPC1500 stanowi dobrą inwestycję w przyszłość; wszystkie aktualizacje i rozbudowa realizowane są za pomocą kluczy programowych, które można wprowadzać bez konieczności dodatkowej kalibracji. Komplet szczegółowych informacji na temat produktu dostępny jest </w:t>
      </w:r>
      <w:hyperlink r:id="rId18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tutaj</w:t>
        </w:r>
      </w:hyperlink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>.</w:t>
      </w:r>
    </w:p>
    <w:p w14:paraId="076A0D42" w14:textId="77777777" w:rsidR="002D781F" w:rsidRPr="00434995" w:rsidRDefault="007E5DD1" w:rsidP="002D781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14" w:hanging="357"/>
        <w:contextualSpacing/>
        <w:rPr>
          <w:rFonts w:ascii="Arial" w:eastAsia="Times New Roman" w:hAnsi="Arial" w:cs="Arial"/>
          <w:kern w:val="0"/>
          <w:lang w:val="pl-PL" w:eastAsia="en-US" w:bidi="ar-SA"/>
        </w:rPr>
      </w:pPr>
      <w:hyperlink r:id="rId19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Rodzina zasilaczy Rohde &amp; Schwarz® HMP</w:t>
        </w:r>
      </w:hyperlink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>*</w:t>
      </w:r>
      <w:r w:rsidR="002D781F" w:rsidRPr="00434995">
        <w:rPr>
          <w:rFonts w:ascii="Arial" w:eastAsia="Times New Roman" w:hAnsi="Arial" w:cs="Arial"/>
          <w:b/>
          <w:kern w:val="0"/>
          <w:lang w:val="pl-PL" w:eastAsia="en-US" w:bidi="ar-SA"/>
        </w:rPr>
        <w:t>:</w:t>
      </w:r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 xml:space="preserve"> produkty te zostały zaprojektowane przede wszystkim z myślą o zastosowaniach przemysłowych. Dostępne są cztery modele z dwoma, trzema lub czterema kanałami wyjściowymi i z prądem do 10 A na kanał. Zasilacze te są bardzo wytrzymałe i idealnie sprawdzają się w szerokim zakresie aplikacji. Cechują się wysoką wydajnością, małymi tętnieniami oraz wieloma funkcjami zabezpieczającymi. Są w stanie dostarczać do 80 W lub 160 W mocy na kanał, w zależności od modelu. Komplet szczegółowych informacji na temat produktu dostępny jest </w:t>
      </w:r>
      <w:hyperlink r:id="rId20" w:history="1">
        <w:r w:rsidR="002D781F" w:rsidRPr="00434995">
          <w:rPr>
            <w:rFonts w:ascii="Arial" w:eastAsia="Times New Roman" w:hAnsi="Arial" w:cs="Arial"/>
            <w:color w:val="0000FF"/>
            <w:kern w:val="0"/>
            <w:u w:val="single"/>
            <w:lang w:val="pl-PL" w:eastAsia="en-US" w:bidi="ar-SA"/>
          </w:rPr>
          <w:t>tutaj</w:t>
        </w:r>
      </w:hyperlink>
      <w:r w:rsidR="002D781F" w:rsidRPr="00434995">
        <w:rPr>
          <w:rFonts w:ascii="Arial" w:eastAsia="Times New Roman" w:hAnsi="Arial" w:cs="Arial"/>
          <w:kern w:val="0"/>
          <w:lang w:val="pl-PL" w:eastAsia="en-US" w:bidi="ar-SA"/>
        </w:rPr>
        <w:t>.</w:t>
      </w:r>
    </w:p>
    <w:p w14:paraId="0A8B5EEB" w14:textId="77777777" w:rsidR="002D781F" w:rsidRPr="00434995" w:rsidRDefault="002D781F" w:rsidP="002D781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1FC50ADB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Szeroki wybór produktów oferowanych przez Farnell element14 jest dostępny wraz z wysokiej jakości obsługą i wsparciem. „Jesteśmy jedynym globalnym, zaawansowanym dystrybutorem, który jest blisko klienta, zapewniając mu wiedzę, doświadczenie i rady potrzebne w trakcie dokonywania zakupów” – </w:t>
      </w:r>
      <w:r w:rsidRPr="00434995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dodaje McGregor</w:t>
      </w: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>. „Farnell element14 jest w stanie wspierać swoich klientów podczas całego procesu, począwszy od rozwoju i testowania produktu, aż po pomoc w trakcie czynności związanych z jego utrzymaniem. Całe to wsparcie jest realizowane lokalnie, pozwalając klientowi na zaoszczędzenie czasu i pieniędzy.”</w:t>
      </w:r>
    </w:p>
    <w:p w14:paraId="653E30D9" w14:textId="77777777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1DE4E501" w14:textId="5841B9AE" w:rsidR="002D781F" w:rsidRPr="00434995" w:rsidRDefault="002D781F" w:rsidP="002D78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Premier Farnell działa jako </w:t>
      </w:r>
      <w:hyperlink r:id="rId21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Farnell element14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 Europie, </w:t>
      </w:r>
      <w:hyperlink r:id="rId22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Newark element14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 Ameryce Północnej oraz jako </w:t>
      </w:r>
      <w:hyperlink r:id="rId23" w:history="1">
        <w:r w:rsidRPr="00434995">
          <w:rPr>
            <w:rFonts w:ascii="Arial" w:eastAsia="Cambria" w:hAnsi="Arial" w:cs="Arial"/>
            <w:color w:val="0000FF"/>
            <w:kern w:val="0"/>
            <w:u w:val="single"/>
            <w:lang w:val="pl-PL" w:eastAsia="en-US" w:bidi="ar-SA"/>
          </w:rPr>
          <w:t>element14</w:t>
        </w:r>
      </w:hyperlink>
      <w:r w:rsidRPr="00434995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 krajach Azji i Pacyfiku.</w:t>
      </w:r>
    </w:p>
    <w:p w14:paraId="293F6E6D" w14:textId="77777777" w:rsidR="002D781F" w:rsidRPr="00434995" w:rsidRDefault="002D781F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448ED1" w14:textId="12BE4A92" w:rsidR="008A15D5" w:rsidRPr="00434995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434995">
        <w:rPr>
          <w:rFonts w:ascii="Arial" w:hAnsi="Arial" w:cs="Arial"/>
          <w:b/>
          <w:color w:val="000000"/>
          <w:sz w:val="20"/>
          <w:szCs w:val="20"/>
          <w:lang w:val="pl-PL"/>
        </w:rPr>
        <w:t>** KONIEC**</w:t>
      </w:r>
    </w:p>
    <w:p w14:paraId="7627B4CD" w14:textId="77777777" w:rsidR="008A15D5" w:rsidRPr="00434995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C50043F" w14:textId="275B1157" w:rsidR="008A15D5" w:rsidRPr="00434995" w:rsidRDefault="008A15D5" w:rsidP="002D781F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434995">
        <w:rPr>
          <w:rFonts w:ascii="Arial" w:hAnsi="Arial" w:cs="Arial"/>
          <w:b/>
          <w:u w:val="single"/>
          <w:lang w:val="pl-PL"/>
        </w:rPr>
        <w:t>Informacje dla redakcji</w:t>
      </w:r>
    </w:p>
    <w:p w14:paraId="6BB50175" w14:textId="1A05D0F4" w:rsidR="002D781F" w:rsidRPr="00434995" w:rsidRDefault="002D781F" w:rsidP="002D781F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6C2DE666" w14:textId="78321016" w:rsidR="002D781F" w:rsidRPr="00434995" w:rsidRDefault="002D781F" w:rsidP="002D781F">
      <w:pPr>
        <w:spacing w:after="0" w:line="240" w:lineRule="auto"/>
        <w:rPr>
          <w:rFonts w:ascii="Arial" w:hAnsi="Arial" w:cs="Arial"/>
          <w:lang w:val="pl-PL"/>
        </w:rPr>
      </w:pPr>
      <w:r w:rsidRPr="00434995">
        <w:rPr>
          <w:rFonts w:ascii="Arial" w:hAnsi="Arial" w:cs="Arial"/>
          <w:lang w:val="pl-PL"/>
        </w:rPr>
        <w:t>*</w:t>
      </w:r>
      <w:hyperlink r:id="rId24" w:history="1">
        <w:r w:rsidRPr="00434995">
          <w:rPr>
            <w:rStyle w:val="Hyperlink"/>
            <w:rFonts w:ascii="Arial" w:hAnsi="Arial" w:cs="Arial"/>
            <w:lang w:val="pl-PL"/>
          </w:rPr>
          <w:t>Multimetr z funkcjami akwizycji i rejestracji danych Keithley DAQ6510</w:t>
        </w:r>
      </w:hyperlink>
      <w:r w:rsidRPr="00434995">
        <w:rPr>
          <w:rFonts w:ascii="Arial" w:hAnsi="Arial" w:cs="Arial"/>
          <w:lang w:val="pl-PL"/>
        </w:rPr>
        <w:t xml:space="preserve"> oraz </w:t>
      </w:r>
      <w:hyperlink r:id="rId25" w:history="1">
        <w:r w:rsidRPr="00434995">
          <w:rPr>
            <w:rStyle w:val="Hyperlink"/>
            <w:rFonts w:ascii="Arial" w:hAnsi="Arial" w:cs="Arial"/>
            <w:lang w:val="pl-PL"/>
          </w:rPr>
          <w:t>Rodzina zasilaczy Rohde &amp; Schwarz® HMP</w:t>
        </w:r>
      </w:hyperlink>
      <w:r w:rsidRPr="00434995">
        <w:rPr>
          <w:rFonts w:ascii="Arial" w:hAnsi="Arial" w:cs="Arial"/>
          <w:lang w:val="pl-PL"/>
        </w:rPr>
        <w:t xml:space="preserve"> są dostępne do zakupu tylko w Europie oraz krajach Azji i Pacyfiku.</w:t>
      </w:r>
    </w:p>
    <w:p w14:paraId="54BFD4C1" w14:textId="77777777" w:rsidR="00807A71" w:rsidRPr="00434995" w:rsidRDefault="00807A71" w:rsidP="002D781F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5E51D14B" w14:textId="77777777" w:rsidR="008A15D5" w:rsidRPr="00434995" w:rsidRDefault="008A15D5" w:rsidP="002D781F">
      <w:pPr>
        <w:spacing w:after="0" w:line="240" w:lineRule="auto"/>
        <w:rPr>
          <w:rFonts w:ascii="Arial" w:hAnsi="Arial" w:cs="Arial"/>
          <w:lang w:val="pl-PL"/>
        </w:rPr>
      </w:pPr>
      <w:r w:rsidRPr="00434995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26" w:history="1">
        <w:r w:rsidRPr="00434995">
          <w:rPr>
            <w:rStyle w:val="Hyperlink"/>
            <w:rFonts w:ascii="Arial" w:hAnsi="Arial" w:cs="Arial"/>
            <w:lang w:val="pl-PL"/>
          </w:rPr>
          <w:t>www.element14.com/news</w:t>
        </w:r>
      </w:hyperlink>
    </w:p>
    <w:p w14:paraId="03D71AA4" w14:textId="77777777" w:rsidR="008A15D5" w:rsidRPr="00434995" w:rsidRDefault="008A15D5" w:rsidP="002D781F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14:paraId="6E25CABC" w14:textId="77777777" w:rsidR="008A15D5" w:rsidRPr="00434995" w:rsidRDefault="008A15D5" w:rsidP="002D781F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434995">
        <w:rPr>
          <w:rFonts w:ascii="Arial" w:hAnsi="Arial" w:cs="Arial"/>
          <w:b/>
          <w:bCs/>
          <w:lang w:val="pl-PL"/>
        </w:rPr>
        <w:t>O nas</w:t>
      </w:r>
    </w:p>
    <w:p w14:paraId="3ADF813D" w14:textId="77777777" w:rsidR="00807A71" w:rsidRPr="00434995" w:rsidRDefault="00807A71" w:rsidP="002D781F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2E667878" w14:textId="37507DD0" w:rsidR="008A15D5" w:rsidRPr="00434995" w:rsidRDefault="00434995" w:rsidP="008A15D5">
      <w:pPr>
        <w:spacing w:after="0" w:line="240" w:lineRule="auto"/>
        <w:rPr>
          <w:rFonts w:ascii="Arial" w:hAnsi="Arial" w:cs="Arial"/>
          <w:lang w:val="pl-PL"/>
        </w:rPr>
      </w:pPr>
      <w:hyperlink r:id="rId27" w:history="1">
        <w:r w:rsidR="008A15D5" w:rsidRPr="00434995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="008A15D5" w:rsidRPr="00434995">
        <w:rPr>
          <w:rFonts w:ascii="Arial" w:hAnsi="Arial" w:cs="Arial"/>
          <w:lang w:val="pl-PL"/>
        </w:rPr>
        <w:t xml:space="preserve"> to część grupy </w:t>
      </w:r>
      <w:hyperlink r:id="rId28" w:history="1">
        <w:r w:rsidR="008A15D5" w:rsidRPr="00434995">
          <w:rPr>
            <w:rStyle w:val="Hyperlink"/>
            <w:rFonts w:ascii="Arial" w:hAnsi="Arial" w:cs="Arial"/>
            <w:lang w:val="pl-PL"/>
          </w:rPr>
          <w:t>Premier Farnell</w:t>
        </w:r>
      </w:hyperlink>
      <w:r w:rsidR="008A15D5" w:rsidRPr="00434995">
        <w:rPr>
          <w:rFonts w:ascii="Arial" w:hAnsi="Arial" w:cs="Arial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5A219761" w14:textId="77777777" w:rsidR="002D781F" w:rsidRPr="00434995" w:rsidRDefault="002D781F" w:rsidP="00CE0EFD">
      <w:pPr>
        <w:pStyle w:val="HTMLPreformatted"/>
        <w:shd w:val="clear" w:color="auto" w:fill="FFFFFF"/>
        <w:rPr>
          <w:rFonts w:ascii="Arial" w:eastAsia="Times New Roman" w:hAnsi="Arial" w:cs="Arial"/>
          <w:color w:val="212121"/>
          <w:kern w:val="0"/>
          <w:lang w:val="pl-PL" w:eastAsia="en-GB" w:bidi="ar-SA"/>
        </w:rPr>
      </w:pPr>
    </w:p>
    <w:p w14:paraId="73D8430C" w14:textId="7D344AAC" w:rsidR="00CE0EFD" w:rsidRPr="00434995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434995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Premier Farnell jest jednostką biznesową Avnet (Nasdaq: AVT). </w:t>
      </w:r>
      <w:r w:rsidR="008A15D5" w:rsidRPr="00434995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29" w:history="1">
        <w:r w:rsidR="008A15D5" w:rsidRPr="00434995">
          <w:rPr>
            <w:rStyle w:val="Hyperlink"/>
            <w:rFonts w:ascii="Arial" w:hAnsi="Arial" w:cs="Arial"/>
            <w:lang w:val="pl-PL"/>
          </w:rPr>
          <w:t>Farnell element14</w:t>
        </w:r>
      </w:hyperlink>
      <w:r w:rsidR="008A15D5" w:rsidRPr="00434995">
        <w:rPr>
          <w:rFonts w:ascii="Arial" w:hAnsi="Arial" w:cs="Arial"/>
          <w:lang w:val="pl-PL"/>
        </w:rPr>
        <w:t> w Europie, </w:t>
      </w:r>
      <w:hyperlink r:id="rId30" w:history="1">
        <w:r w:rsidR="008A15D5" w:rsidRPr="00434995">
          <w:rPr>
            <w:rStyle w:val="Hyperlink"/>
            <w:rFonts w:ascii="Arial" w:hAnsi="Arial" w:cs="Arial"/>
            <w:lang w:val="pl-PL"/>
          </w:rPr>
          <w:t>Newark element14</w:t>
        </w:r>
      </w:hyperlink>
      <w:r w:rsidR="008A15D5" w:rsidRPr="00434995">
        <w:rPr>
          <w:rFonts w:ascii="Arial" w:hAnsi="Arial" w:cs="Arial"/>
          <w:lang w:val="pl-PL"/>
        </w:rPr>
        <w:t xml:space="preserve"> w Ameryce Północnej i </w:t>
      </w:r>
      <w:hyperlink r:id="rId31" w:history="1">
        <w:r w:rsidR="008A15D5" w:rsidRPr="00434995">
          <w:rPr>
            <w:rStyle w:val="Hyperlink"/>
            <w:rFonts w:ascii="Arial" w:hAnsi="Arial" w:cs="Arial"/>
            <w:lang w:val="pl-PL"/>
          </w:rPr>
          <w:t>element14</w:t>
        </w:r>
      </w:hyperlink>
      <w:r w:rsidR="008A15D5" w:rsidRPr="00434995">
        <w:rPr>
          <w:rFonts w:ascii="Arial" w:hAnsi="Arial" w:cs="Arial"/>
          <w:lang w:val="pl-PL"/>
        </w:rPr>
        <w:t> w krajach Azji i Pacyfiku</w:t>
      </w:r>
      <w:r w:rsidR="008A15D5" w:rsidRPr="00434995">
        <w:rPr>
          <w:rFonts w:ascii="Arial" w:hAnsi="Arial" w:cs="Arial"/>
          <w:shd w:val="clear" w:color="auto" w:fill="FFFFFF"/>
          <w:lang w:val="pl-PL"/>
        </w:rPr>
        <w:t xml:space="preserve">. Grupa Premier Farnell </w:t>
      </w:r>
      <w:r w:rsidR="00CE0EFD" w:rsidRPr="00434995">
        <w:rPr>
          <w:rFonts w:ascii="Arial" w:hAnsi="Arial" w:cs="Arial"/>
          <w:shd w:val="clear" w:color="auto" w:fill="FFFFFF"/>
          <w:lang w:val="pl-PL"/>
        </w:rPr>
        <w:t>j</w:t>
      </w:r>
      <w:r w:rsidR="00CE0EFD" w:rsidRPr="00434995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32" w:history="1">
        <w:r w:rsidR="00CE0EFD" w:rsidRPr="00434995">
          <w:rPr>
            <w:rStyle w:val="Hyperlink"/>
            <w:rFonts w:ascii="Arial" w:eastAsia="Times New Roman" w:hAnsi="Arial" w:cs="Arial"/>
            <w:kern w:val="0"/>
            <w:szCs w:val="20"/>
            <w:lang w:val="pl-PL" w:eastAsia="en-GB" w:bidi="ar-SA"/>
          </w:rPr>
          <w:t>CPC</w:t>
        </w:r>
      </w:hyperlink>
      <w:r w:rsidR="00CE0EFD" w:rsidRPr="00434995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14:paraId="59A4403A" w14:textId="77777777" w:rsidR="00CE0EFD" w:rsidRPr="00434995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</w:p>
    <w:p w14:paraId="64864DCD" w14:textId="1FDCC758" w:rsidR="008A15D5" w:rsidRPr="00434995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lang w:val="pl-PL"/>
        </w:rPr>
      </w:pPr>
      <w:r w:rsidRPr="00434995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33" w:history="1">
        <w:r w:rsidRPr="00434995">
          <w:rPr>
            <w:rStyle w:val="Hyperlink"/>
            <w:rFonts w:ascii="Arial" w:hAnsi="Arial" w:cs="Arial"/>
            <w:lang w:val="pl-PL"/>
          </w:rPr>
          <w:t>http://www.premierfarnell.com</w:t>
        </w:r>
      </w:hyperlink>
    </w:p>
    <w:p w14:paraId="0F639D39" w14:textId="77777777" w:rsidR="008A15D5" w:rsidRPr="00434995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B934ED2" w14:textId="77777777" w:rsidR="008A15D5" w:rsidRPr="00434995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434995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14:paraId="5D43DA8E" w14:textId="77777777" w:rsidR="008A15D5" w:rsidRPr="00434995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434995">
        <w:rPr>
          <w:rFonts w:ascii="Arial" w:hAnsi="Arial" w:cs="Arial"/>
          <w:b/>
          <w:bCs/>
        </w:rPr>
        <w:t>Freya Ward</w:t>
      </w:r>
    </w:p>
    <w:p w14:paraId="0F2454A1" w14:textId="77777777" w:rsidR="008A15D5" w:rsidRPr="00434995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434995">
        <w:rPr>
          <w:rFonts w:ascii="Arial" w:hAnsi="Arial" w:cs="Arial"/>
          <w:b/>
          <w:bCs/>
        </w:rPr>
        <w:t>Napier Partnership</w:t>
      </w:r>
    </w:p>
    <w:p w14:paraId="7FCF4C32" w14:textId="77777777" w:rsidR="008A15D5" w:rsidRPr="00434995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434995">
        <w:rPr>
          <w:rFonts w:ascii="Arial" w:hAnsi="Arial" w:cs="Arial"/>
          <w:bCs/>
        </w:rPr>
        <w:t>Tel: +44 1243 531123</w:t>
      </w:r>
    </w:p>
    <w:p w14:paraId="4EAB24B5" w14:textId="77777777" w:rsidR="008A15D5" w:rsidRPr="00434995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434995">
        <w:rPr>
          <w:rFonts w:ascii="Arial" w:hAnsi="Arial" w:cs="Arial"/>
          <w:bCs/>
          <w:lang w:val="it-IT"/>
        </w:rPr>
        <w:t xml:space="preserve">E-mail: </w:t>
      </w:r>
      <w:hyperlink r:id="rId34" w:history="1">
        <w:r w:rsidRPr="00434995">
          <w:rPr>
            <w:rStyle w:val="Hyperlink"/>
            <w:rFonts w:ascii="Arial" w:hAnsi="Arial" w:cs="Arial"/>
            <w:lang w:val="it-IT"/>
          </w:rPr>
          <w:t>freya@napierb2b.com</w:t>
        </w:r>
      </w:hyperlink>
    </w:p>
    <w:p w14:paraId="16AC080D" w14:textId="77777777" w:rsidR="008A15D5" w:rsidRPr="00434995" w:rsidRDefault="00434995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  <w:hyperlink r:id="rId35" w:history="1">
        <w:r w:rsidR="006E7D4F" w:rsidRPr="00434995">
          <w:rPr>
            <w:rStyle w:val="Hyperlink"/>
            <w:rFonts w:ascii="Arial" w:hAnsi="Arial" w:cs="Arial"/>
            <w:lang w:val="it-IT"/>
          </w:rPr>
          <w:t>www.napierb2b.com</w:t>
        </w:r>
      </w:hyperlink>
      <w:r w:rsidR="006E7D4F" w:rsidRPr="00434995">
        <w:rPr>
          <w:rFonts w:ascii="Arial" w:hAnsi="Arial" w:cs="Arial"/>
          <w:b/>
          <w:bCs/>
          <w:lang w:val="it-IT"/>
        </w:rPr>
        <w:t xml:space="preserve"> </w:t>
      </w:r>
    </w:p>
    <w:p w14:paraId="60BD9B76" w14:textId="77777777" w:rsidR="006E7D4F" w:rsidRPr="00434995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501D54E" w14:textId="77777777" w:rsidR="00194523" w:rsidRPr="00434995" w:rsidRDefault="00194523" w:rsidP="008A15D5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434995">
        <w:rPr>
          <w:rFonts w:ascii="Arial" w:hAnsi="Arial" w:cs="Arial"/>
          <w:b/>
          <w:bCs/>
          <w:lang w:val="fr-FR"/>
        </w:rPr>
        <w:t>Premier Farnell:</w:t>
      </w:r>
    </w:p>
    <w:p w14:paraId="12611091" w14:textId="77777777" w:rsidR="00194523" w:rsidRPr="00434995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434995">
        <w:rPr>
          <w:rFonts w:ascii="Arial" w:hAnsi="Arial" w:cs="Arial"/>
          <w:b/>
          <w:bCs/>
        </w:rPr>
        <w:t>Holly Smart</w:t>
      </w:r>
    </w:p>
    <w:p w14:paraId="30C54E7D" w14:textId="77777777" w:rsidR="00194523" w:rsidRPr="00434995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434995">
        <w:rPr>
          <w:rFonts w:ascii="Arial" w:hAnsi="Arial" w:cs="Arial"/>
          <w:b/>
          <w:bCs/>
        </w:rPr>
        <w:t>Head of PR and External Communications</w:t>
      </w:r>
    </w:p>
    <w:p w14:paraId="1C60D3A6" w14:textId="77777777" w:rsidR="00194523" w:rsidRPr="00434995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434995">
        <w:rPr>
          <w:rFonts w:ascii="Arial" w:hAnsi="Arial" w:cs="Arial"/>
          <w:bCs/>
        </w:rPr>
        <w:t>Tel: +44 113 2485188</w:t>
      </w:r>
    </w:p>
    <w:p w14:paraId="49A450A9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434995">
        <w:rPr>
          <w:rFonts w:ascii="Arial" w:hAnsi="Arial" w:cs="Arial"/>
          <w:bCs/>
        </w:rPr>
        <w:t>Email:</w:t>
      </w:r>
      <w:r w:rsidRPr="00434995">
        <w:rPr>
          <w:rFonts w:ascii="Arial" w:hAnsi="Arial" w:cs="Arial"/>
          <w:b/>
          <w:bCs/>
        </w:rPr>
        <w:t> </w:t>
      </w:r>
      <w:hyperlink r:id="rId36" w:history="1">
        <w:r w:rsidRPr="00434995">
          <w:rPr>
            <w:rStyle w:val="Hyperlink"/>
            <w:rFonts w:ascii="Arial" w:hAnsi="Arial" w:cs="Arial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14:paraId="3FB73691" w14:textId="77777777"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72B523FA" w14:textId="77777777"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14:paraId="2A321CB7" w14:textId="77777777"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D978B8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D790B" w14:textId="77777777" w:rsidR="000865A0" w:rsidRDefault="000865A0">
      <w:pPr>
        <w:spacing w:after="0" w:line="240" w:lineRule="auto"/>
      </w:pPr>
      <w:r>
        <w:separator/>
      </w:r>
    </w:p>
  </w:endnote>
  <w:endnote w:type="continuationSeparator" w:id="0">
    <w:p w14:paraId="0D6914DE" w14:textId="77777777" w:rsidR="000865A0" w:rsidRDefault="000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1DC1" w14:textId="7CD11202" w:rsidR="002D781F" w:rsidRPr="002D781F" w:rsidRDefault="002D781F">
    <w:pPr>
      <w:pStyle w:val="Footer"/>
      <w:rPr>
        <w:rFonts w:ascii="Arial" w:hAnsi="Arial" w:cs="Arial"/>
        <w:lang w:val="en-GB"/>
      </w:rPr>
    </w:pPr>
    <w:r w:rsidRPr="002D781F">
      <w:rPr>
        <w:rFonts w:ascii="Arial" w:hAnsi="Arial" w:cs="Arial"/>
        <w:lang w:val="en-GB"/>
      </w:rPr>
      <w:t>FAR226pl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6BB9" w14:textId="77777777" w:rsidR="000865A0" w:rsidRDefault="000865A0">
      <w:pPr>
        <w:spacing w:after="0" w:line="240" w:lineRule="auto"/>
      </w:pPr>
      <w:r>
        <w:separator/>
      </w:r>
    </w:p>
  </w:footnote>
  <w:footnote w:type="continuationSeparator" w:id="0">
    <w:p w14:paraId="1A3272E2" w14:textId="77777777" w:rsidR="000865A0" w:rsidRDefault="0008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1EB1" w14:textId="77777777" w:rsidR="000865A0" w:rsidRDefault="000865A0" w:rsidP="00960163">
    <w:pPr>
      <w:pStyle w:val="Header"/>
      <w:jc w:val="center"/>
    </w:pPr>
  </w:p>
  <w:p w14:paraId="06374D09" w14:textId="77777777"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14:paraId="129318DB" w14:textId="77777777" w:rsidR="000865A0" w:rsidRDefault="000865A0" w:rsidP="00960163">
    <w:pPr>
      <w:pStyle w:val="Header"/>
      <w:jc w:val="center"/>
    </w:pPr>
  </w:p>
  <w:p w14:paraId="302D4115" w14:textId="77777777" w:rsidR="000865A0" w:rsidRDefault="000865A0" w:rsidP="00960163">
    <w:pPr>
      <w:pStyle w:val="Header"/>
      <w:jc w:val="center"/>
    </w:pPr>
  </w:p>
  <w:p w14:paraId="53268CF5" w14:textId="77777777" w:rsidR="009A2B37" w:rsidRDefault="009A2B37" w:rsidP="00960163">
    <w:pPr>
      <w:pStyle w:val="Header"/>
      <w:jc w:val="center"/>
    </w:pPr>
  </w:p>
  <w:p w14:paraId="08FA740A" w14:textId="77777777"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86BF0"/>
    <w:multiLevelType w:val="hybridMultilevel"/>
    <w:tmpl w:val="3252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6654"/>
    <w:rsid w:val="002D0DDC"/>
    <w:rsid w:val="002D781F"/>
    <w:rsid w:val="002E1C81"/>
    <w:rsid w:val="002E4BD6"/>
    <w:rsid w:val="002E5040"/>
    <w:rsid w:val="0030442A"/>
    <w:rsid w:val="003343FE"/>
    <w:rsid w:val="0034113E"/>
    <w:rsid w:val="003435C9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4995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864F9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E5DD1"/>
    <w:rsid w:val="007F2580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A15D5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2963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C435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DA78A4"/>
  <w15:docId w15:val="{D1498B5E-8FF9-4D33-9284-88A9F778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.farnell.com/" TargetMode="External"/><Relationship Id="rId13" Type="http://schemas.openxmlformats.org/officeDocument/2006/relationships/hyperlink" Target="http://pl.farnell.com/weller/t0053298699/soldering-station-70w-120vac-450deg/dp/2851721" TargetMode="External"/><Relationship Id="rId18" Type="http://schemas.openxmlformats.org/officeDocument/2006/relationships/hyperlink" Target="http://www.farnell.com/datasheets/2607102.pdf?_ga=2.42910246.2066197955.1526982545-2141761902.1525437556" TargetMode="External"/><Relationship Id="rId26" Type="http://schemas.openxmlformats.org/officeDocument/2006/relationships/hyperlink" Target="http://www.element14.com/new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l.farnell.com/" TargetMode="External"/><Relationship Id="rId34" Type="http://schemas.openxmlformats.org/officeDocument/2006/relationships/hyperlink" Target="mailto:freya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.farnell.com/w/c/test-measurement/bench-power-supplies-sources-loads/bench-top-power-supplies?product-range=hmp-series" TargetMode="External"/><Relationship Id="rId17" Type="http://schemas.openxmlformats.org/officeDocument/2006/relationships/hyperlink" Target="http://pl.farnell.com/rohde-schwarz/r-s-fpc-p1tg-fpc1500/spectrum-analyser-w-tg-bench-5khz/dp/2858768?st=FPC1500" TargetMode="External"/><Relationship Id="rId25" Type="http://schemas.openxmlformats.org/officeDocument/2006/relationships/hyperlink" Target="http://pl.farnell.com/search?st=R%26S%20HMP%20power%20supply" TargetMode="External"/><Relationship Id="rId33" Type="http://schemas.openxmlformats.org/officeDocument/2006/relationships/hyperlink" Target="http://www.premierfarnell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rnell.com/datasheets/2607098.pdf?_ga=2.143434294.2066197955.1526982545-2141761902.1525437556" TargetMode="External"/><Relationship Id="rId20" Type="http://schemas.openxmlformats.org/officeDocument/2006/relationships/hyperlink" Target="http://www.farnell.com/datasheets/2581339.pdf?_ga=2.78023319.2066197955.1526982545-2141761902.1525437556" TargetMode="External"/><Relationship Id="rId29" Type="http://schemas.openxmlformats.org/officeDocument/2006/relationships/hyperlink" Target="http://farnel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farnell.com/c/test-measurement/rf-test-equipment/spectrum-analysers?product-range=fpc-series" TargetMode="External"/><Relationship Id="rId24" Type="http://schemas.openxmlformats.org/officeDocument/2006/relationships/hyperlink" Target="http://pl.farnell.com/keithley/daq6510/data-acquisition-logging-tft-wvga/dp/2852962?st=keithley%20DAQ6510" TargetMode="External"/><Relationship Id="rId32" Type="http://schemas.openxmlformats.org/officeDocument/2006/relationships/hyperlink" Target="http://cpc.farnell.com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.farnell.com/keithley/daq6510/data-acquisition-logging-tft-wvga/dp/2852962?st=keithley%20DAQ6510" TargetMode="External"/><Relationship Id="rId23" Type="http://schemas.openxmlformats.org/officeDocument/2006/relationships/hyperlink" Target="htpp://sg.element14.com" TargetMode="External"/><Relationship Id="rId28" Type="http://schemas.openxmlformats.org/officeDocument/2006/relationships/hyperlink" Target="http://www.premierfarnell.com/" TargetMode="External"/><Relationship Id="rId36" Type="http://schemas.openxmlformats.org/officeDocument/2006/relationships/hyperlink" Target="mailto:hsmart@premierfarnell.com" TargetMode="External"/><Relationship Id="rId10" Type="http://schemas.openxmlformats.org/officeDocument/2006/relationships/hyperlink" Target="http://pl.farnell.com/keithley/daq6510/data-acquisition-logging-tft-wvga/dp/2852962?st=DAQ6510" TargetMode="External"/><Relationship Id="rId19" Type="http://schemas.openxmlformats.org/officeDocument/2006/relationships/hyperlink" Target="http://pl.farnell.com/search?st=R%26S%20HMP%20power%20supply" TargetMode="External"/><Relationship Id="rId31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farnell.com/weller/t0053298699/soldering-station-70w-120vac-450deg/dp/2851721" TargetMode="External"/><Relationship Id="rId14" Type="http://schemas.openxmlformats.org/officeDocument/2006/relationships/hyperlink" Target="http://www.farnell.com/datasheets/2599604.pdf?_ga=2.144614710.2066197955.1526982545-2141761902.1525437556" TargetMode="External"/><Relationship Id="rId22" Type="http://schemas.openxmlformats.org/officeDocument/2006/relationships/hyperlink" Target="http://www.newark.com" TargetMode="External"/><Relationship Id="rId27" Type="http://schemas.openxmlformats.org/officeDocument/2006/relationships/hyperlink" Target="http://pl.farnell.com" TargetMode="External"/><Relationship Id="rId30" Type="http://schemas.openxmlformats.org/officeDocument/2006/relationships/hyperlink" Target="http://www.newark.com/" TargetMode="External"/><Relationship Id="rId35" Type="http://schemas.openxmlformats.org/officeDocument/2006/relationships/hyperlink" Target="http://www.napierb2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7F96-593D-4E44-8E15-7E8310EC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Freya Ward</cp:lastModifiedBy>
  <cp:revision>6</cp:revision>
  <cp:lastPrinted>2016-07-13T14:25:00Z</cp:lastPrinted>
  <dcterms:created xsi:type="dcterms:W3CDTF">2018-06-19T07:42:00Z</dcterms:created>
  <dcterms:modified xsi:type="dcterms:W3CDTF">2018-06-19T14:59:00Z</dcterms:modified>
</cp:coreProperties>
</file>