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6340" w14:textId="77777777" w:rsidR="002A4DAD" w:rsidRDefault="002A4DAD" w:rsidP="00D2201A">
      <w:pPr>
        <w:widowControl w:val="0"/>
        <w:jc w:val="center"/>
        <w:rPr>
          <w:rFonts w:ascii="Arial" w:hAnsi="Arial"/>
          <w:b/>
          <w:color w:val="auto"/>
          <w:sz w:val="20"/>
          <w:szCs w:val="20"/>
        </w:rPr>
      </w:pPr>
    </w:p>
    <w:p w14:paraId="2CDFC054" w14:textId="77777777" w:rsidR="006F434D" w:rsidRDefault="006F434D" w:rsidP="006F434D">
      <w:pPr>
        <w:widowControl w:val="0"/>
        <w:spacing w:line="276" w:lineRule="auto"/>
        <w:jc w:val="center"/>
        <w:rPr>
          <w:rFonts w:ascii="Arial" w:hAnsi="Arial"/>
          <w:b/>
          <w:color w:val="auto"/>
          <w:sz w:val="26"/>
          <w:szCs w:val="26"/>
        </w:rPr>
      </w:pPr>
    </w:p>
    <w:p w14:paraId="753DCA01" w14:textId="09696F4E" w:rsidR="006F434D" w:rsidRPr="006F434D" w:rsidRDefault="006F434D" w:rsidP="006F434D">
      <w:pPr>
        <w:widowControl w:val="0"/>
        <w:spacing w:line="276" w:lineRule="auto"/>
        <w:jc w:val="center"/>
        <w:rPr>
          <w:rFonts w:ascii="Arial" w:hAnsi="Arial"/>
          <w:b/>
          <w:color w:val="auto"/>
          <w:sz w:val="26"/>
          <w:szCs w:val="26"/>
        </w:rPr>
      </w:pPr>
      <w:r w:rsidRPr="006F434D">
        <w:rPr>
          <w:rFonts w:ascii="Arial" w:hAnsi="Arial"/>
          <w:b/>
          <w:color w:val="auto"/>
          <w:sz w:val="26"/>
          <w:szCs w:val="26"/>
        </w:rPr>
        <w:t>Společnost Farnell element14 představuje referenční designy značky Texas Instruments, jejichž cílem je usnadnit vývoj řešení pro napájení aplikací Xilinx MPSoC, SoC a FPGA</w:t>
      </w:r>
    </w:p>
    <w:p w14:paraId="5E7B7169" w14:textId="77777777" w:rsidR="006F434D" w:rsidRPr="006F434D" w:rsidRDefault="006F434D" w:rsidP="006F434D">
      <w:pPr>
        <w:widowControl w:val="0"/>
        <w:spacing w:line="276" w:lineRule="auto"/>
        <w:jc w:val="center"/>
        <w:rPr>
          <w:rFonts w:ascii="Arial" w:hAnsi="Arial" w:cs="Arial"/>
          <w:b/>
          <w:color w:val="auto"/>
          <w:sz w:val="26"/>
          <w:szCs w:val="26"/>
        </w:rPr>
      </w:pPr>
    </w:p>
    <w:p w14:paraId="40BABC76" w14:textId="77777777" w:rsidR="006F434D" w:rsidRPr="006F434D" w:rsidRDefault="006F434D" w:rsidP="006F434D">
      <w:pPr>
        <w:widowControl w:val="0"/>
        <w:spacing w:line="276" w:lineRule="auto"/>
        <w:jc w:val="center"/>
        <w:rPr>
          <w:rFonts w:ascii="Arial" w:hAnsi="Arial" w:cs="Arial"/>
          <w:i/>
          <w:color w:val="auto"/>
          <w:sz w:val="20"/>
          <w:szCs w:val="20"/>
        </w:rPr>
      </w:pPr>
      <w:r w:rsidRPr="006F434D">
        <w:rPr>
          <w:rFonts w:ascii="Arial" w:hAnsi="Arial"/>
          <w:i/>
          <w:sz w:val="20"/>
          <w:szCs w:val="20"/>
        </w:rPr>
        <w:t xml:space="preserve">Škálovatelná konstrukce napájecího zdroje zjednodušuje a urychluje vývoj řešení pro napájení řady </w:t>
      </w:r>
      <w:r w:rsidRPr="006F434D">
        <w:rPr>
          <w:rFonts w:ascii="Arial" w:hAnsi="Arial"/>
          <w:i/>
          <w:color w:val="auto"/>
          <w:sz w:val="20"/>
          <w:szCs w:val="20"/>
        </w:rPr>
        <w:t xml:space="preserve">Xilinx Zynq UltraScale+ MPSoC </w:t>
      </w:r>
    </w:p>
    <w:p w14:paraId="56DCC33F" w14:textId="77777777" w:rsidR="006F434D" w:rsidRPr="006F434D" w:rsidRDefault="006F434D" w:rsidP="006F434D">
      <w:pPr>
        <w:widowControl w:val="0"/>
        <w:spacing w:line="276" w:lineRule="auto"/>
        <w:jc w:val="center"/>
        <w:rPr>
          <w:rFonts w:ascii="Arial" w:hAnsi="Arial" w:cs="Arial"/>
          <w:b/>
          <w:color w:val="auto"/>
          <w:sz w:val="20"/>
          <w:szCs w:val="20"/>
        </w:rPr>
      </w:pPr>
    </w:p>
    <w:p w14:paraId="6E3B338E" w14:textId="4FC8F9AD" w:rsidR="006F434D" w:rsidRPr="006F434D" w:rsidRDefault="006F434D" w:rsidP="006F434D">
      <w:pPr>
        <w:widowControl w:val="0"/>
        <w:spacing w:line="276" w:lineRule="auto"/>
        <w:rPr>
          <w:rFonts w:ascii="Arial" w:hAnsi="Arial" w:cs="Arial"/>
          <w:b/>
          <w:color w:val="FF0000"/>
          <w:highlight w:val="yellow"/>
          <w:lang w:val="en-GB"/>
        </w:rPr>
      </w:pPr>
      <w:r w:rsidRPr="006F434D">
        <w:rPr>
          <w:rFonts w:ascii="Arial" w:hAnsi="Arial" w:cs="Arial"/>
          <w:b/>
          <w:color w:val="auto"/>
          <w:sz w:val="20"/>
          <w:szCs w:val="20"/>
        </w:rPr>
        <w:t xml:space="preserve">Londýn, Velká Británie, </w:t>
      </w:r>
      <w:r w:rsidR="00795C13">
        <w:rPr>
          <w:rFonts w:ascii="Arial" w:hAnsi="Arial" w:cs="Arial"/>
          <w:b/>
          <w:color w:val="auto"/>
          <w:sz w:val="20"/>
          <w:szCs w:val="20"/>
        </w:rPr>
        <w:t>9</w:t>
      </w:r>
      <w:r w:rsidRPr="006F434D">
        <w:rPr>
          <w:rFonts w:ascii="Arial" w:hAnsi="Arial" w:cs="Arial"/>
          <w:b/>
          <w:color w:val="auto"/>
          <w:sz w:val="20"/>
          <w:szCs w:val="20"/>
        </w:rPr>
        <w:t>. </w:t>
      </w:r>
      <w:r w:rsidRPr="006F434D">
        <w:rPr>
          <w:rFonts w:ascii="Arial" w:hAnsi="Arial" w:cs="Arial"/>
          <w:b/>
          <w:color w:val="auto"/>
          <w:sz w:val="20"/>
          <w:szCs w:val="20"/>
        </w:rPr>
        <w:t>červenec</w:t>
      </w:r>
      <w:r w:rsidRPr="006F434D">
        <w:rPr>
          <w:rFonts w:ascii="Arial" w:hAnsi="Arial" w:cs="Arial"/>
          <w:b/>
          <w:color w:val="auto"/>
          <w:sz w:val="20"/>
          <w:szCs w:val="20"/>
        </w:rPr>
        <w:t xml:space="preserve"> 2018 </w:t>
      </w:r>
      <w:r w:rsidRPr="006F434D">
        <w:rPr>
          <w:rFonts w:ascii="Arial" w:hAnsi="Arial" w:cs="Arial"/>
          <w:color w:val="auto"/>
          <w:sz w:val="20"/>
          <w:szCs w:val="20"/>
        </w:rPr>
        <w:t xml:space="preserve">– Společnost Farnell element14, distributor potřeb pro vývojáře, zajišťuje podporu zákazníků používajících řadu Xilinx® Zynq® UltraScale+™ MPSoC tím, že uvádí na trh dva </w:t>
      </w:r>
      <w:hyperlink r:id="rId8" w:history="1">
        <w:r w:rsidRPr="006F434D">
          <w:rPr>
            <w:rFonts w:ascii="Arial" w:hAnsi="Arial" w:cs="Arial"/>
            <w:color w:val="0000FF"/>
            <w:sz w:val="20"/>
            <w:szCs w:val="20"/>
            <w:u w:val="single"/>
          </w:rPr>
          <w:t>referenční designy značky Texas Instruments</w:t>
        </w:r>
      </w:hyperlink>
      <w:r w:rsidRPr="006F434D">
        <w:rPr>
          <w:rFonts w:ascii="Arial" w:hAnsi="Arial" w:cs="Arial"/>
          <w:color w:val="auto"/>
          <w:sz w:val="20"/>
          <w:szCs w:val="20"/>
        </w:rPr>
        <w:t>, aby tak zákazníkům vyvíjejícím za pomoci těchto zařízení inovativní aplikace usnadnila vývoj řešení pro jejich napájení.</w:t>
      </w:r>
    </w:p>
    <w:p w14:paraId="7035CF76" w14:textId="77777777" w:rsidR="006F434D" w:rsidRPr="006F434D" w:rsidRDefault="006F434D" w:rsidP="006F434D">
      <w:pPr>
        <w:widowControl w:val="0"/>
        <w:spacing w:line="276" w:lineRule="auto"/>
        <w:rPr>
          <w:rFonts w:ascii="Arial" w:hAnsi="Arial" w:cs="Arial"/>
          <w:color w:val="auto"/>
          <w:sz w:val="20"/>
          <w:szCs w:val="20"/>
        </w:rPr>
      </w:pPr>
      <w:bookmarkStart w:id="0" w:name="_GoBack"/>
      <w:bookmarkEnd w:id="0"/>
    </w:p>
    <w:p w14:paraId="5B64CBE4" w14:textId="77777777" w:rsidR="006F434D" w:rsidRPr="006F434D" w:rsidRDefault="006F434D" w:rsidP="006F434D">
      <w:pPr>
        <w:widowControl w:val="0"/>
        <w:spacing w:line="276" w:lineRule="auto"/>
        <w:rPr>
          <w:rFonts w:ascii="Arial" w:hAnsi="Arial" w:cs="Arial"/>
          <w:color w:val="auto"/>
          <w:sz w:val="20"/>
          <w:szCs w:val="20"/>
        </w:rPr>
      </w:pPr>
      <w:r w:rsidRPr="006F434D">
        <w:rPr>
          <w:rFonts w:ascii="Arial" w:hAnsi="Arial" w:cs="Arial"/>
          <w:color w:val="auto"/>
          <w:sz w:val="20"/>
          <w:szCs w:val="20"/>
        </w:rPr>
        <w:t>Každý referenční design zákazníkům nabízí snadný způsob pro tvorbu prototypů jejich návrhů dříve, než plně prověří své potřeby v oblasti napájení, a jedná se o škálovatelný napájecí zdroj navržený pro napájení zařízení FPGA MPSoC řady Xilinx Zynq UltraScale+. Návrhy jsou napájeny standardním stejnosměrným zdrojem a zajišťují napájení všech větví čipové sady Xilinx a paměti DDR prostřednictvím dobře strukturované lišty se zásuvkami Samtec.</w:t>
      </w:r>
    </w:p>
    <w:p w14:paraId="44EEC491" w14:textId="77777777" w:rsidR="006F434D" w:rsidRPr="006F434D" w:rsidRDefault="006F434D" w:rsidP="006F434D">
      <w:pPr>
        <w:widowControl w:val="0"/>
        <w:spacing w:line="276" w:lineRule="auto"/>
        <w:rPr>
          <w:rFonts w:ascii="Arial" w:hAnsi="Arial" w:cs="Arial"/>
          <w:color w:val="auto"/>
          <w:sz w:val="20"/>
          <w:szCs w:val="20"/>
        </w:rPr>
      </w:pPr>
    </w:p>
    <w:p w14:paraId="16F7C73E" w14:textId="77777777" w:rsidR="006F434D" w:rsidRPr="006F434D" w:rsidRDefault="006F434D" w:rsidP="006F434D">
      <w:pPr>
        <w:widowControl w:val="0"/>
        <w:spacing w:line="276" w:lineRule="auto"/>
        <w:rPr>
          <w:rFonts w:ascii="Arial" w:hAnsi="Arial" w:cs="Arial"/>
          <w:color w:val="auto"/>
          <w:sz w:val="20"/>
          <w:szCs w:val="20"/>
        </w:rPr>
      </w:pPr>
      <w:hyperlink r:id="rId9" w:history="1">
        <w:r w:rsidRPr="006F434D">
          <w:rPr>
            <w:rFonts w:ascii="Arial" w:hAnsi="Arial" w:cs="Arial"/>
            <w:color w:val="0000FF"/>
            <w:sz w:val="20"/>
            <w:szCs w:val="20"/>
            <w:u w:val="single"/>
          </w:rPr>
          <w:t>Referenční design integrovaného napájecího zdroje pro zařízení MPSoC Xilinx Zynq UltraScale+ZU2CG−ZU5EV</w:t>
        </w:r>
      </w:hyperlink>
      <w:r w:rsidRPr="006F434D">
        <w:rPr>
          <w:rFonts w:ascii="Arial" w:hAnsi="Arial" w:cs="Arial"/>
          <w:color w:val="auto"/>
          <w:sz w:val="20"/>
          <w:szCs w:val="20"/>
        </w:rPr>
        <w:t xml:space="preserve"> umožňuje škálování a nabízí podporu zařízení ZU2CG-ZU3EG. </w:t>
      </w:r>
      <w:hyperlink r:id="rId10" w:history="1">
        <w:r w:rsidRPr="006F434D">
          <w:rPr>
            <w:rFonts w:ascii="Arial" w:hAnsi="Arial" w:cs="Arial"/>
            <w:color w:val="0000FF"/>
            <w:sz w:val="20"/>
            <w:szCs w:val="20"/>
            <w:u w:val="single"/>
          </w:rPr>
          <w:t>Referenční design integrovaného napájecí zdroje pro zařízení SoC Xilinx Artix®-7, Spartan®-7 FPGA a Zynq®-7000</w:t>
        </w:r>
      </w:hyperlink>
      <w:r w:rsidRPr="006F434D">
        <w:rPr>
          <w:rFonts w:ascii="Arial" w:hAnsi="Arial" w:cs="Arial"/>
          <w:color w:val="0000FF"/>
          <w:sz w:val="20"/>
          <w:szCs w:val="20"/>
        </w:rPr>
        <w:t xml:space="preserve"> </w:t>
      </w:r>
      <w:r w:rsidRPr="006F434D">
        <w:rPr>
          <w:rFonts w:ascii="Arial" w:hAnsi="Arial" w:cs="Arial"/>
          <w:color w:val="auto"/>
          <w:sz w:val="20"/>
          <w:szCs w:val="20"/>
        </w:rPr>
        <w:t>navíc umožňuje další škálování pro zajištění podpory nejzákladnějšího zařízení Spartan-7 FPGA, komplexnějšího zařízení Artix-7 FPGA s multigigabitovými transceivery a dokonce také zařízení Zynq-7000 SoC s dvoujádrovým procesorem Arm® Cortex®-A9.</w:t>
      </w:r>
    </w:p>
    <w:p w14:paraId="3AA363D3" w14:textId="77777777" w:rsidR="006F434D" w:rsidRPr="006F434D" w:rsidRDefault="006F434D" w:rsidP="006F434D">
      <w:pPr>
        <w:widowControl w:val="0"/>
        <w:spacing w:line="276" w:lineRule="auto"/>
        <w:rPr>
          <w:rFonts w:ascii="Arial" w:hAnsi="Arial" w:cs="Arial"/>
          <w:color w:val="auto"/>
          <w:sz w:val="20"/>
          <w:szCs w:val="20"/>
        </w:rPr>
      </w:pPr>
    </w:p>
    <w:p w14:paraId="29396860" w14:textId="77777777" w:rsidR="006F434D" w:rsidRPr="006F434D" w:rsidRDefault="006F434D" w:rsidP="006F434D">
      <w:pPr>
        <w:widowControl w:val="0"/>
        <w:spacing w:line="276" w:lineRule="auto"/>
        <w:rPr>
          <w:rFonts w:ascii="Arial" w:hAnsi="Arial" w:cs="Arial"/>
          <w:color w:val="auto"/>
          <w:sz w:val="20"/>
          <w:szCs w:val="20"/>
        </w:rPr>
      </w:pPr>
      <w:r w:rsidRPr="006F434D">
        <w:rPr>
          <w:rFonts w:ascii="Arial" w:hAnsi="Arial" w:cs="Arial"/>
          <w:color w:val="auto"/>
          <w:sz w:val="20"/>
          <w:szCs w:val="20"/>
        </w:rPr>
        <w:t>Jelikož oba referenční designy sdílejí stejný koncept a prototyp DPS, zákazníci mohou používat stejnou konstrukci napájecího zdroje napříč zařízeními řady Xilinx Zynq UltraScale+ a portfoliem Xilinx s optimalizovanou cenou. Řešení pro napájení zařízení tohoto typu typicky vyžadují speciální integrované obvody pro správu napájení, nebo pro zajištění napájení platforem FPGA používají mnoho diskrétních regulátorů napájení. Díky použití tohoto nového řešení je možné vytvořit škálovatelnou konstrukci využívající PMIC konfiguraci a výběr jednotlivých diskrétních součástí.</w:t>
      </w:r>
    </w:p>
    <w:p w14:paraId="1A65F2BC" w14:textId="77777777" w:rsidR="006F434D" w:rsidRPr="006F434D" w:rsidRDefault="006F434D" w:rsidP="006F434D">
      <w:pPr>
        <w:widowControl w:val="0"/>
        <w:spacing w:line="276" w:lineRule="auto"/>
        <w:rPr>
          <w:rFonts w:ascii="Arial" w:hAnsi="Arial" w:cs="Arial"/>
          <w:color w:val="auto"/>
          <w:sz w:val="20"/>
          <w:szCs w:val="20"/>
        </w:rPr>
      </w:pPr>
    </w:p>
    <w:p w14:paraId="541DD131" w14:textId="77777777" w:rsidR="006F434D" w:rsidRPr="006F434D" w:rsidRDefault="006F434D" w:rsidP="006F434D">
      <w:pPr>
        <w:widowControl w:val="0"/>
        <w:spacing w:line="276" w:lineRule="auto"/>
        <w:rPr>
          <w:rFonts w:ascii="Arial" w:hAnsi="Arial" w:cs="Arial"/>
          <w:color w:val="auto"/>
          <w:sz w:val="20"/>
          <w:szCs w:val="20"/>
        </w:rPr>
      </w:pPr>
      <w:r w:rsidRPr="006F434D">
        <w:rPr>
          <w:rFonts w:ascii="Arial" w:hAnsi="Arial" w:cs="Arial"/>
          <w:color w:val="auto"/>
          <w:sz w:val="20"/>
          <w:szCs w:val="20"/>
        </w:rPr>
        <w:t>Velikost řešení je optimalizovaná pro jednotlivé varianty montáže a stavební napájecí bloky jsou vybírány podle produktu Xilinx. Referenční návrhy značky Texas Instruments lze v rané fázi prototypování používat pro scénáře v zapnutém stavu. Při konečném návrhu lze napájecí řešení implementovat díky jeho nejmenší velikosti.</w:t>
      </w:r>
    </w:p>
    <w:p w14:paraId="16EF15CD" w14:textId="77777777" w:rsidR="006F434D" w:rsidRPr="006F434D" w:rsidRDefault="006F434D" w:rsidP="006F434D">
      <w:pPr>
        <w:widowControl w:val="0"/>
        <w:spacing w:line="276" w:lineRule="auto"/>
        <w:rPr>
          <w:rFonts w:ascii="Arial" w:hAnsi="Arial" w:cs="Arial"/>
          <w:color w:val="auto"/>
          <w:sz w:val="20"/>
          <w:szCs w:val="20"/>
        </w:rPr>
      </w:pPr>
    </w:p>
    <w:p w14:paraId="6D241A82" w14:textId="77777777" w:rsidR="006F434D" w:rsidRPr="006F434D" w:rsidRDefault="006F434D" w:rsidP="006F434D">
      <w:pPr>
        <w:widowControl w:val="0"/>
        <w:spacing w:line="276" w:lineRule="auto"/>
        <w:rPr>
          <w:rFonts w:ascii="Arial" w:eastAsia="Calibri" w:hAnsi="Arial" w:cs="Arial"/>
          <w:color w:val="auto"/>
          <w:sz w:val="20"/>
          <w:szCs w:val="20"/>
        </w:rPr>
      </w:pPr>
      <w:r w:rsidRPr="006F434D">
        <w:rPr>
          <w:rFonts w:ascii="Arial" w:hAnsi="Arial" w:cs="Arial"/>
          <w:color w:val="auto"/>
          <w:sz w:val="20"/>
          <w:szCs w:val="20"/>
        </w:rPr>
        <w:t>Výsledkem je elegantní a škálovatelné řešení umožňující konstruktérům používat řadu Xilinx Zynq UltraScale+ i cenově optimalizované produkty Xilinx (Artix-7, Spartan-7 a Zynq-7000) a s jejich pomocí vytvořit opakovatelně použitelnou platformu. Jako příklad typického použití lze uvést napájecí řešení pro zákazníky navrhující průmyslové roboty využívající model ZU+ jako centrální řídicí jednotku a několik modulů Spartan-7 pro řízení osy. Toto řešení napájí obě čipové sady.</w:t>
      </w:r>
    </w:p>
    <w:p w14:paraId="1D19E08B" w14:textId="77777777" w:rsidR="006F434D" w:rsidRPr="006F434D" w:rsidRDefault="006F434D" w:rsidP="006F434D">
      <w:pPr>
        <w:widowControl w:val="0"/>
        <w:spacing w:line="276" w:lineRule="auto"/>
        <w:rPr>
          <w:rFonts w:ascii="Arial" w:eastAsia="Calibri" w:hAnsi="Arial" w:cs="Arial"/>
          <w:color w:val="auto"/>
          <w:sz w:val="20"/>
          <w:szCs w:val="20"/>
        </w:rPr>
      </w:pPr>
    </w:p>
    <w:p w14:paraId="65912E4C" w14:textId="77777777" w:rsidR="006F434D" w:rsidRPr="006F434D" w:rsidRDefault="006F434D" w:rsidP="006F434D">
      <w:pPr>
        <w:widowControl w:val="0"/>
        <w:spacing w:line="276" w:lineRule="auto"/>
        <w:rPr>
          <w:rFonts w:ascii="Arial" w:hAnsi="Arial" w:cs="Arial"/>
          <w:color w:val="auto"/>
          <w:sz w:val="20"/>
          <w:szCs w:val="20"/>
        </w:rPr>
      </w:pPr>
      <w:r w:rsidRPr="006F434D">
        <w:rPr>
          <w:rFonts w:ascii="Arial" w:hAnsi="Arial" w:cs="Arial"/>
          <w:b/>
          <w:color w:val="auto"/>
          <w:sz w:val="20"/>
          <w:szCs w:val="20"/>
        </w:rPr>
        <w:t>Simon Meadmore, Global Head of semiconductors and SBC ve společnostech Premier Farnell a Farnell element14, říká:</w:t>
      </w:r>
      <w:r w:rsidRPr="006F434D">
        <w:rPr>
          <w:rFonts w:ascii="Arial" w:hAnsi="Arial" w:cs="Arial"/>
          <w:color w:val="auto"/>
          <w:sz w:val="20"/>
          <w:szCs w:val="20"/>
        </w:rPr>
        <w:t xml:space="preserve"> „Cílem společnosti Farnell element14, coby distributora potřeb pro vývojáře, je nabídnout zákazníkům způsoby pro urychlení procesů při návrhu a ušetřit jim čas i peníze při uvádění produktů na trh.  Tyto nové referenční návrhy od společnosti Texas Instruments zákazníkům nabízejí způsob pro vytváření prototypů jejich návrhů dříve, než plně prověří své potřeby v oblasti napájení – a lze je přizpůsobit pro použití napříč všemi řešeními značky Xilinx – od řady Xilinx Zynq UltraScale+ až po </w:t>
      </w:r>
    </w:p>
    <w:p w14:paraId="5151165F" w14:textId="77777777" w:rsidR="006F434D" w:rsidRDefault="006F434D" w:rsidP="006F434D">
      <w:pPr>
        <w:widowControl w:val="0"/>
        <w:spacing w:line="276" w:lineRule="auto"/>
        <w:rPr>
          <w:rFonts w:ascii="Arial" w:hAnsi="Arial" w:cs="Arial"/>
          <w:color w:val="auto"/>
          <w:sz w:val="20"/>
          <w:szCs w:val="20"/>
        </w:rPr>
      </w:pPr>
    </w:p>
    <w:p w14:paraId="04C7FCF5" w14:textId="0DAA176B" w:rsidR="006F434D" w:rsidRPr="006F434D" w:rsidRDefault="006F434D" w:rsidP="006F434D">
      <w:pPr>
        <w:widowControl w:val="0"/>
        <w:spacing w:line="276" w:lineRule="auto"/>
        <w:rPr>
          <w:rFonts w:ascii="Arial" w:hAnsi="Arial" w:cs="Arial"/>
          <w:color w:val="auto"/>
          <w:sz w:val="20"/>
          <w:szCs w:val="20"/>
        </w:rPr>
      </w:pPr>
      <w:r w:rsidRPr="006F434D">
        <w:rPr>
          <w:rFonts w:ascii="Arial" w:hAnsi="Arial" w:cs="Arial"/>
          <w:color w:val="auto"/>
          <w:sz w:val="20"/>
          <w:szCs w:val="20"/>
        </w:rPr>
        <w:t>portfolio cenově optimalizovaných produktů Xilinx.  Tato řešení jsme našim zákazníkům schopni nabídnout díky pevným vztahům, které jsme si vybudovali s předními světovými výrobci a dodavateli – shromažďujeme nejlepší dostupná řešení, abychom mohli našim zákazníkům přinášet skutečné výhody”.</w:t>
      </w:r>
    </w:p>
    <w:p w14:paraId="073FE8EC" w14:textId="77777777" w:rsidR="006F434D" w:rsidRPr="006F434D" w:rsidRDefault="006F434D" w:rsidP="006F434D">
      <w:pPr>
        <w:widowControl w:val="0"/>
        <w:spacing w:line="276" w:lineRule="auto"/>
        <w:rPr>
          <w:rFonts w:ascii="Arial" w:hAnsi="Arial" w:cs="Arial"/>
          <w:color w:val="auto"/>
          <w:sz w:val="20"/>
          <w:szCs w:val="20"/>
        </w:rPr>
      </w:pPr>
    </w:p>
    <w:p w14:paraId="39D755C4" w14:textId="77777777" w:rsidR="006F434D" w:rsidRPr="006F434D" w:rsidRDefault="006F434D" w:rsidP="006F434D">
      <w:pPr>
        <w:widowControl w:val="0"/>
        <w:spacing w:line="276" w:lineRule="auto"/>
        <w:rPr>
          <w:rFonts w:ascii="Arial" w:hAnsi="Arial" w:cs="Arial"/>
          <w:color w:val="auto"/>
          <w:sz w:val="20"/>
          <w:szCs w:val="20"/>
        </w:rPr>
      </w:pPr>
      <w:r w:rsidRPr="006F434D">
        <w:rPr>
          <w:rFonts w:ascii="Arial" w:hAnsi="Arial" w:cs="Arial"/>
          <w:color w:val="auto"/>
          <w:sz w:val="20"/>
          <w:szCs w:val="20"/>
        </w:rPr>
        <w:t xml:space="preserve">Více informací o referenčních návrzích PMIC od značky Texas Instruments naleznete na adrese </w:t>
      </w:r>
      <w:hyperlink r:id="rId11" w:history="1">
        <w:r w:rsidRPr="006F434D">
          <w:rPr>
            <w:rFonts w:ascii="Arial" w:hAnsi="Arial" w:cs="Arial"/>
            <w:color w:val="0000FF"/>
            <w:sz w:val="20"/>
            <w:szCs w:val="20"/>
            <w:u w:val="single"/>
          </w:rPr>
          <w:t>cz.farnell.com/fpga-power</w:t>
        </w:r>
      </w:hyperlink>
      <w:r w:rsidRPr="006F434D">
        <w:rPr>
          <w:rFonts w:ascii="Arial" w:hAnsi="Arial" w:cs="Arial"/>
          <w:color w:val="auto"/>
          <w:sz w:val="20"/>
          <w:szCs w:val="20"/>
        </w:rPr>
        <w:t xml:space="preserve">.  Pokud si chcete prohlédnout další napájecí řešení značky TI pro zařízení Xilinx FPGA, navštivte adresu ti.com/powerfpga. </w:t>
      </w:r>
    </w:p>
    <w:p w14:paraId="4479AE4B" w14:textId="77777777" w:rsidR="006F434D" w:rsidRDefault="006F434D" w:rsidP="006F434D">
      <w:pPr>
        <w:widowControl w:val="0"/>
        <w:rPr>
          <w:rFonts w:ascii="Arial" w:hAnsi="Arial"/>
          <w:b/>
          <w:color w:val="auto"/>
          <w:sz w:val="22"/>
          <w:szCs w:val="22"/>
        </w:rPr>
      </w:pPr>
    </w:p>
    <w:p w14:paraId="010ACA54" w14:textId="5EC847DC" w:rsidR="0021388C" w:rsidRPr="0021388C" w:rsidRDefault="0021388C" w:rsidP="0021388C">
      <w:pPr>
        <w:widowControl w:val="0"/>
        <w:jc w:val="center"/>
        <w:rPr>
          <w:rFonts w:ascii="Arial" w:hAnsi="Arial" w:cs="Arial"/>
          <w:color w:val="auto"/>
          <w:sz w:val="22"/>
          <w:szCs w:val="22"/>
        </w:rPr>
      </w:pPr>
      <w:r w:rsidRPr="0021388C">
        <w:rPr>
          <w:rFonts w:ascii="Arial" w:hAnsi="Arial"/>
          <w:b/>
          <w:color w:val="auto"/>
          <w:sz w:val="22"/>
          <w:szCs w:val="22"/>
        </w:rPr>
        <w:t>**</w:t>
      </w:r>
      <w:r w:rsidRPr="006F434D">
        <w:rPr>
          <w:rFonts w:ascii="Arial" w:hAnsi="Arial"/>
          <w:b/>
          <w:color w:val="auto"/>
          <w:sz w:val="20"/>
          <w:szCs w:val="20"/>
        </w:rPr>
        <w:t>Konec</w:t>
      </w:r>
      <w:r w:rsidRPr="0021388C">
        <w:rPr>
          <w:rFonts w:ascii="Arial" w:hAnsi="Arial"/>
          <w:b/>
          <w:color w:val="auto"/>
          <w:sz w:val="22"/>
          <w:szCs w:val="22"/>
        </w:rPr>
        <w:t>**</w:t>
      </w:r>
    </w:p>
    <w:p w14:paraId="0BD63479" w14:textId="77777777" w:rsidR="00981FA2" w:rsidRPr="00D2201A" w:rsidRDefault="00981FA2" w:rsidP="00D2201A">
      <w:pPr>
        <w:rPr>
          <w:rFonts w:ascii="Arial" w:hAnsi="Arial" w:cs="Arial"/>
          <w:color w:val="auto"/>
          <w:sz w:val="20"/>
          <w:szCs w:val="20"/>
        </w:rPr>
      </w:pPr>
    </w:p>
    <w:p w14:paraId="33A7B53D" w14:textId="77777777" w:rsidR="00981FA2" w:rsidRPr="00757936" w:rsidRDefault="00981FA2" w:rsidP="00D2201A">
      <w:pPr>
        <w:rPr>
          <w:rFonts w:ascii="Arial" w:hAnsi="Arial" w:cs="Arial"/>
          <w:b/>
          <w:color w:val="auto"/>
          <w:sz w:val="20"/>
          <w:szCs w:val="20"/>
          <w:u w:val="single"/>
        </w:rPr>
      </w:pPr>
      <w:r w:rsidRPr="00757936">
        <w:rPr>
          <w:rFonts w:ascii="Arial" w:hAnsi="Arial" w:cs="Arial"/>
          <w:b/>
          <w:color w:val="auto"/>
          <w:sz w:val="20"/>
          <w:szCs w:val="20"/>
          <w:u w:val="single"/>
        </w:rPr>
        <w:t>Poznámky pro editory</w:t>
      </w:r>
    </w:p>
    <w:p w14:paraId="43E0B03D" w14:textId="77777777" w:rsidR="00981FA2" w:rsidRPr="00757936" w:rsidRDefault="00981FA2" w:rsidP="00D2201A">
      <w:pPr>
        <w:rPr>
          <w:rFonts w:ascii="Arial" w:hAnsi="Arial" w:cs="Arial"/>
          <w:color w:val="auto"/>
          <w:sz w:val="20"/>
          <w:szCs w:val="20"/>
        </w:rPr>
      </w:pPr>
    </w:p>
    <w:p w14:paraId="1DD5EE27" w14:textId="77777777" w:rsidR="00981FA2" w:rsidRPr="00757936" w:rsidRDefault="00981FA2" w:rsidP="00D2201A">
      <w:pPr>
        <w:rPr>
          <w:rFonts w:ascii="Arial" w:hAnsi="Arial" w:cs="Arial"/>
          <w:sz w:val="20"/>
          <w:szCs w:val="20"/>
        </w:rPr>
      </w:pPr>
      <w:r w:rsidRPr="00757936">
        <w:rPr>
          <w:rFonts w:ascii="Arial" w:hAnsi="Arial" w:cs="Arial"/>
          <w:sz w:val="20"/>
          <w:szCs w:val="20"/>
        </w:rPr>
        <w:t xml:space="preserve">Více podrobností a doprovodné obrázky související s touto tiskovou zprávou najdete v naší sekci novinek: </w:t>
      </w:r>
      <w:hyperlink r:id="rId12" w:history="1">
        <w:r w:rsidRPr="006F434D">
          <w:rPr>
            <w:rFonts w:ascii="Arial" w:hAnsi="Arial" w:cs="Arial"/>
            <w:color w:val="0000FF"/>
            <w:sz w:val="20"/>
            <w:szCs w:val="20"/>
            <w:u w:val="single"/>
          </w:rPr>
          <w:t>www.element14.com/news</w:t>
        </w:r>
      </w:hyperlink>
    </w:p>
    <w:p w14:paraId="331E076A" w14:textId="77777777" w:rsidR="008B5CAF" w:rsidRPr="00757936" w:rsidRDefault="008B5CAF" w:rsidP="00D2201A">
      <w:pPr>
        <w:widowControl w:val="0"/>
        <w:autoSpaceDE w:val="0"/>
        <w:autoSpaceDN w:val="0"/>
        <w:adjustRightInd w:val="0"/>
        <w:rPr>
          <w:rFonts w:ascii="Arial" w:eastAsia="Calibri" w:hAnsi="Arial" w:cs="Arial"/>
          <w:sz w:val="20"/>
          <w:szCs w:val="20"/>
        </w:rPr>
      </w:pPr>
    </w:p>
    <w:p w14:paraId="220F3EA8" w14:textId="77777777" w:rsidR="00584A6A" w:rsidRPr="00757936" w:rsidRDefault="00584A6A" w:rsidP="00D2201A">
      <w:pPr>
        <w:ind w:right="-1"/>
        <w:rPr>
          <w:rFonts w:ascii="Arial" w:hAnsi="Arial" w:cs="Arial"/>
          <w:b/>
          <w:bCs/>
          <w:sz w:val="20"/>
          <w:szCs w:val="20"/>
          <w:u w:val="single"/>
        </w:rPr>
      </w:pPr>
    </w:p>
    <w:p w14:paraId="3DE38202" w14:textId="77777777" w:rsidR="00584A6A" w:rsidRPr="00757936" w:rsidRDefault="00584A6A" w:rsidP="00D2201A">
      <w:pPr>
        <w:ind w:right="-1"/>
        <w:rPr>
          <w:rFonts w:ascii="Arial" w:hAnsi="Arial" w:cs="Arial"/>
          <w:b/>
          <w:bCs/>
          <w:sz w:val="20"/>
          <w:szCs w:val="20"/>
        </w:rPr>
      </w:pPr>
      <w:r w:rsidRPr="00757936">
        <w:rPr>
          <w:rFonts w:ascii="Arial" w:hAnsi="Arial" w:cs="Arial"/>
          <w:b/>
          <w:bCs/>
          <w:sz w:val="20"/>
          <w:szCs w:val="20"/>
        </w:rPr>
        <w:t>O nás</w:t>
      </w:r>
    </w:p>
    <w:p w14:paraId="5BFF4B6F" w14:textId="77777777" w:rsidR="00584A6A" w:rsidRPr="00757936" w:rsidRDefault="00584A6A" w:rsidP="00D2201A">
      <w:pPr>
        <w:ind w:right="-1"/>
        <w:rPr>
          <w:rFonts w:ascii="Arial" w:hAnsi="Arial" w:cs="Arial"/>
          <w:b/>
          <w:bCs/>
          <w:sz w:val="20"/>
          <w:szCs w:val="20"/>
          <w:u w:val="single"/>
        </w:rPr>
      </w:pPr>
    </w:p>
    <w:p w14:paraId="4A3C29E4" w14:textId="186AD4AF" w:rsidR="00757936" w:rsidRPr="00757936" w:rsidRDefault="006C4772" w:rsidP="00D2201A">
      <w:pPr>
        <w:ind w:right="-1"/>
        <w:rPr>
          <w:rFonts w:ascii="Arial" w:hAnsi="Arial" w:cs="Arial"/>
          <w:sz w:val="20"/>
          <w:szCs w:val="20"/>
        </w:rPr>
      </w:pPr>
      <w:hyperlink r:id="rId13" w:history="1">
        <w:r w:rsidR="00C1310A" w:rsidRPr="006F434D">
          <w:rPr>
            <w:rStyle w:val="Hyperlink"/>
            <w:rFonts w:ascii="Arial" w:hAnsi="Arial" w:cs="Arial"/>
            <w:color w:val="0000FF"/>
            <w:sz w:val="20"/>
            <w:szCs w:val="20"/>
          </w:rPr>
          <w:t>Farnell element14</w:t>
        </w:r>
      </w:hyperlink>
      <w:r w:rsidR="00C1310A" w:rsidRPr="00757936">
        <w:rPr>
          <w:rFonts w:ascii="Arial" w:hAnsi="Arial" w:cs="Arial"/>
          <w:sz w:val="20"/>
          <w:szCs w:val="20"/>
        </w:rPr>
        <w:t xml:space="preserve"> jsou součástí podnikatelské skupiny </w:t>
      </w:r>
      <w:hyperlink r:id="rId14" w:history="1">
        <w:r w:rsidR="00C1310A" w:rsidRPr="006F434D">
          <w:rPr>
            <w:rStyle w:val="Hyperlink"/>
            <w:rFonts w:ascii="Arial" w:hAnsi="Arial" w:cs="Arial"/>
            <w:color w:val="0000FF"/>
            <w:sz w:val="20"/>
            <w:szCs w:val="20"/>
          </w:rPr>
          <w:t>Premier Farnell</w:t>
        </w:r>
      </w:hyperlink>
      <w:r w:rsidR="00C1310A" w:rsidRPr="006F434D">
        <w:rPr>
          <w:rFonts w:ascii="Arial" w:hAnsi="Arial" w:cs="Arial"/>
          <w:color w:val="0000FF"/>
          <w:sz w:val="20"/>
          <w:szCs w:val="20"/>
        </w:rPr>
        <w:t>,</w:t>
      </w:r>
      <w:r w:rsidR="00C1310A" w:rsidRPr="00757936">
        <w:rPr>
          <w:rFonts w:ascii="Arial" w:hAnsi="Arial" w:cs="Arial"/>
          <w:sz w:val="20"/>
          <w:szCs w:val="20"/>
        </w:rPr>
        <w:t xml:space="preserve"> světové technologické jedničky s více než 80letými zkušenostmi v prémiové distribuci technologických produktů a řešení pro navrhování, výrobu a údržbu elektronických systémů. </w:t>
      </w:r>
    </w:p>
    <w:p w14:paraId="3F82403C" w14:textId="77777777" w:rsidR="00757936" w:rsidRPr="00757936" w:rsidRDefault="00757936" w:rsidP="00D2201A">
      <w:pPr>
        <w:ind w:right="-1"/>
        <w:rPr>
          <w:rFonts w:ascii="Arial" w:hAnsi="Arial" w:cs="Arial"/>
          <w:sz w:val="20"/>
          <w:szCs w:val="20"/>
        </w:rPr>
      </w:pPr>
    </w:p>
    <w:p w14:paraId="75889099" w14:textId="77777777" w:rsidR="00757936" w:rsidRPr="00757936" w:rsidRDefault="00757936" w:rsidP="00D2201A">
      <w:pPr>
        <w:ind w:right="-1"/>
        <w:rPr>
          <w:rFonts w:ascii="Arial" w:hAnsi="Arial" w:cs="Arial"/>
          <w:sz w:val="20"/>
          <w:szCs w:val="20"/>
        </w:rPr>
      </w:pPr>
    </w:p>
    <w:p w14:paraId="6BFDD0D1" w14:textId="13204296" w:rsidR="00584A6A" w:rsidRPr="00757936" w:rsidRDefault="00C1310A" w:rsidP="00D2201A">
      <w:pPr>
        <w:ind w:right="-1"/>
        <w:rPr>
          <w:rFonts w:ascii="Arial" w:hAnsi="Arial" w:cs="Arial"/>
          <w:sz w:val="20"/>
          <w:szCs w:val="20"/>
        </w:rPr>
      </w:pPr>
      <w:r w:rsidRPr="00757936">
        <w:rPr>
          <w:rFonts w:ascii="Arial" w:hAnsi="Arial" w:cs="Arial"/>
          <w:sz w:val="20"/>
          <w:szCs w:val="20"/>
        </w:rPr>
        <w:t xml:space="preserve">Premier Farnell tyto zkušenosti využívá k podpoře široké zákaznické základny, od kutilů po techniky, opraváře a nákupčí ve své pozici „distributora potřeb pro vývojáře“. Spolupracuje se špičkovými značkami a startupy při vývoji nových tržních produktů a podporuje celé odvětví svou snahou o vyškolení kvalitní současné i další generace techniků.  </w:t>
      </w:r>
    </w:p>
    <w:p w14:paraId="0340C68F" w14:textId="77777777" w:rsidR="00584A6A" w:rsidRPr="00757936" w:rsidRDefault="00584A6A" w:rsidP="00D2201A">
      <w:pPr>
        <w:ind w:right="-1"/>
        <w:rPr>
          <w:rFonts w:ascii="Arial" w:hAnsi="Arial" w:cs="Arial"/>
          <w:sz w:val="20"/>
          <w:szCs w:val="20"/>
        </w:rPr>
      </w:pPr>
    </w:p>
    <w:p w14:paraId="1D194588" w14:textId="13539F93" w:rsidR="006F2C3F" w:rsidRPr="006F2C3F" w:rsidRDefault="00584A6A" w:rsidP="006F2C3F">
      <w:pPr>
        <w:pStyle w:val="HTMLPreformatted"/>
        <w:shd w:val="clear" w:color="auto" w:fill="FFFFFF"/>
        <w:rPr>
          <w:rFonts w:ascii="Arial" w:eastAsia="Times New Roman" w:hAnsi="Arial" w:cs="Arial"/>
          <w:color w:val="auto"/>
          <w:lang w:val="en-GB" w:eastAsia="en-GB"/>
        </w:rPr>
      </w:pPr>
      <w:r w:rsidRPr="00757936">
        <w:rPr>
          <w:rFonts w:ascii="Arial" w:hAnsi="Arial" w:cs="Arial"/>
        </w:rPr>
        <w:t xml:space="preserve">Premier Farnell </w:t>
      </w:r>
      <w:r w:rsidRPr="00757936">
        <w:rPr>
          <w:rFonts w:ascii="Arial" w:hAnsi="Arial" w:cs="Arial"/>
          <w:shd w:val="clear" w:color="auto" w:fill="FFFFFF"/>
        </w:rPr>
        <w:t>je obchodní jednotka společnosti Avnet (</w:t>
      </w:r>
      <w:r w:rsidR="00E144FC">
        <w:rPr>
          <w:rFonts w:ascii="Arial" w:hAnsi="Arial" w:cs="Arial"/>
          <w:shd w:val="clear" w:color="auto" w:fill="FFFFFF"/>
        </w:rPr>
        <w:t>Nasdaq</w:t>
      </w:r>
      <w:r w:rsidRPr="00757936">
        <w:rPr>
          <w:rFonts w:ascii="Arial" w:hAnsi="Arial" w:cs="Arial"/>
          <w:shd w:val="clear" w:color="auto" w:fill="FFFFFF"/>
        </w:rPr>
        <w:t>:</w:t>
      </w:r>
      <w:r w:rsidR="00E144FC">
        <w:rPr>
          <w:rFonts w:ascii="Arial" w:hAnsi="Arial" w:cs="Arial"/>
          <w:shd w:val="clear" w:color="auto" w:fill="FFFFFF"/>
        </w:rPr>
        <w:t xml:space="preserve"> </w:t>
      </w:r>
      <w:hyperlink r:id="rId15" w:history="1">
        <w:r w:rsidRPr="006F434D">
          <w:rPr>
            <w:rStyle w:val="Hyperlink"/>
            <w:rFonts w:ascii="Arial" w:hAnsi="Arial" w:cs="Arial"/>
            <w:color w:val="0000FF"/>
            <w:shd w:val="clear" w:color="auto" w:fill="FFFFFF"/>
          </w:rPr>
          <w:t>AVT</w:t>
        </w:r>
      </w:hyperlink>
      <w:r w:rsidRPr="006F434D">
        <w:rPr>
          <w:rFonts w:ascii="Arial" w:hAnsi="Arial" w:cs="Arial"/>
          <w:color w:val="0000FF"/>
          <w:shd w:val="clear" w:color="auto" w:fill="FFFFFF"/>
        </w:rPr>
        <w:t>)</w:t>
      </w:r>
      <w:r w:rsidRPr="00757936">
        <w:rPr>
          <w:rFonts w:ascii="Arial" w:hAnsi="Arial" w:cs="Arial"/>
          <w:shd w:val="clear" w:color="auto" w:fill="FFFFFF"/>
        </w:rPr>
        <w:t xml:space="preserve">. Premier Farnell </w:t>
      </w:r>
      <w:r w:rsidRPr="00757936">
        <w:rPr>
          <w:rFonts w:ascii="Arial" w:hAnsi="Arial" w:cs="Arial"/>
        </w:rPr>
        <w:t xml:space="preserve">obchoduje v Evropě pod názvem </w:t>
      </w:r>
      <w:hyperlink r:id="rId16" w:history="1">
        <w:r w:rsidRPr="006F434D">
          <w:rPr>
            <w:rStyle w:val="Hyperlink"/>
            <w:rFonts w:ascii="Arial" w:hAnsi="Arial" w:cs="Arial"/>
            <w:color w:val="0000FF"/>
          </w:rPr>
          <w:t>Farnell element14</w:t>
        </w:r>
      </w:hyperlink>
      <w:r w:rsidRPr="00757936">
        <w:rPr>
          <w:rFonts w:ascii="Arial" w:hAnsi="Arial" w:cs="Arial"/>
        </w:rPr>
        <w:t>, v Severní Americe pod názvem  </w:t>
      </w:r>
      <w:hyperlink r:id="rId17" w:history="1">
        <w:r w:rsidRPr="006F434D">
          <w:rPr>
            <w:rStyle w:val="Hyperlink"/>
            <w:rFonts w:ascii="Arial" w:hAnsi="Arial" w:cs="Arial"/>
            <w:color w:val="0000FF"/>
          </w:rPr>
          <w:t>Newark element14</w:t>
        </w:r>
      </w:hyperlink>
      <w:r w:rsidRPr="00757936">
        <w:rPr>
          <w:rFonts w:ascii="Arial" w:hAnsi="Arial" w:cs="Arial"/>
        </w:rPr>
        <w:t xml:space="preserve"> a v Asii a Oceánii pod názvem </w:t>
      </w:r>
      <w:hyperlink r:id="rId18" w:history="1">
        <w:r w:rsidRPr="006F434D">
          <w:rPr>
            <w:rStyle w:val="Hyperlink"/>
            <w:rFonts w:ascii="Arial" w:hAnsi="Arial" w:cs="Arial"/>
            <w:color w:val="0000FF"/>
          </w:rPr>
          <w:t>element14</w:t>
        </w:r>
      </w:hyperlink>
      <w:r w:rsidRPr="00757936">
        <w:rPr>
          <w:rFonts w:ascii="Arial" w:hAnsi="Arial" w:cs="Arial"/>
        </w:rPr>
        <w:t> </w:t>
      </w:r>
      <w:r w:rsidRPr="00757936">
        <w:rPr>
          <w:rFonts w:ascii="Arial" w:hAnsi="Arial" w:cs="Arial"/>
          <w:shd w:val="clear" w:color="auto" w:fill="FFFFFF"/>
        </w:rPr>
        <w:t>.</w:t>
      </w:r>
      <w:r w:rsidRPr="00757936">
        <w:rPr>
          <w:rFonts w:ascii="Arial" w:hAnsi="Arial" w:cs="Arial"/>
        </w:rPr>
        <w:t xml:space="preserve"> </w:t>
      </w:r>
      <w:r w:rsidR="006F2C3F" w:rsidRPr="006F2C3F">
        <w:rPr>
          <w:rFonts w:ascii="Arial" w:eastAsia="Times New Roman" w:hAnsi="Arial" w:cs="Arial"/>
          <w:color w:val="auto"/>
          <w:lang w:eastAsia="en-GB"/>
        </w:rPr>
        <w:t xml:space="preserve">Skupina Premier Farnell je podporována globálním dodavatelským řetězcem s více než 3 500 dodavateli a má rozsáhlý inventarizační profil vyvinutý pro předvídání a uspokojování potřeb inovativních zákazníků všude. Premier Farnell se prodává přímo spotřebitelům prostřednictvím sítě prodejců a své obchodní činnosti </w:t>
      </w:r>
      <w:hyperlink r:id="rId19" w:history="1">
        <w:r w:rsidR="006F2C3F" w:rsidRPr="006F434D">
          <w:rPr>
            <w:rStyle w:val="Hyperlink"/>
            <w:rFonts w:ascii="Arial" w:eastAsia="Times New Roman" w:hAnsi="Arial" w:cs="Arial"/>
            <w:color w:val="0000FF"/>
            <w:lang w:eastAsia="en-GB"/>
          </w:rPr>
          <w:t>CPC</w:t>
        </w:r>
      </w:hyperlink>
      <w:r w:rsidR="006F2C3F" w:rsidRPr="006F434D">
        <w:rPr>
          <w:rFonts w:ascii="Arial" w:eastAsia="Times New Roman" w:hAnsi="Arial" w:cs="Arial"/>
          <w:color w:val="0000FF"/>
          <w:lang w:eastAsia="en-GB"/>
        </w:rPr>
        <w:t xml:space="preserve"> </w:t>
      </w:r>
      <w:r w:rsidR="006F2C3F" w:rsidRPr="006F2C3F">
        <w:rPr>
          <w:rFonts w:ascii="Arial" w:eastAsia="Times New Roman" w:hAnsi="Arial" w:cs="Arial"/>
          <w:color w:val="auto"/>
          <w:lang w:eastAsia="en-GB"/>
        </w:rPr>
        <w:t>ve Velké Británii.</w:t>
      </w:r>
    </w:p>
    <w:p w14:paraId="670E0D53" w14:textId="3B236EA8" w:rsidR="005D082A" w:rsidRPr="00757936" w:rsidRDefault="005D082A" w:rsidP="00D2201A">
      <w:pPr>
        <w:ind w:right="-1"/>
        <w:rPr>
          <w:rFonts w:ascii="Arial" w:hAnsi="Arial" w:cs="Arial"/>
          <w:sz w:val="20"/>
          <w:szCs w:val="20"/>
        </w:rPr>
      </w:pPr>
    </w:p>
    <w:p w14:paraId="34E1A485" w14:textId="77777777" w:rsidR="00584A6A" w:rsidRPr="00757936" w:rsidRDefault="00584A6A" w:rsidP="00D2201A">
      <w:pPr>
        <w:shd w:val="clear" w:color="auto" w:fill="FFFFFF"/>
        <w:ind w:right="-1"/>
        <w:rPr>
          <w:rFonts w:ascii="Arial" w:hAnsi="Arial" w:cs="Arial"/>
          <w:sz w:val="20"/>
          <w:szCs w:val="20"/>
        </w:rPr>
      </w:pPr>
    </w:p>
    <w:p w14:paraId="4F716359" w14:textId="77777777" w:rsidR="00584A6A" w:rsidRPr="00757936" w:rsidRDefault="00584A6A" w:rsidP="00D2201A">
      <w:pPr>
        <w:shd w:val="clear" w:color="auto" w:fill="FFFFFF"/>
        <w:ind w:right="-1"/>
        <w:rPr>
          <w:rFonts w:ascii="Arial" w:hAnsi="Arial" w:cs="Arial"/>
          <w:sz w:val="20"/>
          <w:szCs w:val="20"/>
        </w:rPr>
      </w:pPr>
      <w:r w:rsidRPr="00757936">
        <w:rPr>
          <w:rFonts w:ascii="Arial" w:hAnsi="Arial" w:cs="Arial"/>
          <w:sz w:val="20"/>
          <w:szCs w:val="20"/>
        </w:rPr>
        <w:t xml:space="preserve">Více informací najdete na webu </w:t>
      </w:r>
      <w:hyperlink r:id="rId20" w:history="1">
        <w:r w:rsidRPr="006F434D">
          <w:rPr>
            <w:rStyle w:val="Hyperlink"/>
            <w:rFonts w:ascii="Arial" w:hAnsi="Arial" w:cs="Arial"/>
            <w:color w:val="0000FF"/>
            <w:sz w:val="20"/>
            <w:szCs w:val="20"/>
          </w:rPr>
          <w:t>http://www.premierfarnell.com</w:t>
        </w:r>
      </w:hyperlink>
    </w:p>
    <w:p w14:paraId="4BFD2FCA" w14:textId="77777777" w:rsidR="00584A6A" w:rsidRPr="00757936" w:rsidRDefault="00584A6A" w:rsidP="00D2201A">
      <w:pPr>
        <w:shd w:val="clear" w:color="auto" w:fill="FFFFFF"/>
        <w:ind w:right="-1"/>
        <w:rPr>
          <w:rFonts w:ascii="Arial" w:hAnsi="Arial" w:cs="Arial"/>
          <w:sz w:val="20"/>
          <w:szCs w:val="20"/>
        </w:rPr>
      </w:pPr>
    </w:p>
    <w:p w14:paraId="4B1F25C9" w14:textId="3D41E109" w:rsidR="00584A6A" w:rsidRPr="00757936" w:rsidRDefault="00F875C1" w:rsidP="00D2201A">
      <w:pPr>
        <w:pStyle w:val="ColorfulList-Accent11"/>
        <w:spacing w:after="0" w:line="240" w:lineRule="auto"/>
        <w:ind w:left="0" w:right="-1"/>
        <w:rPr>
          <w:rFonts w:ascii="Arial" w:hAnsi="Arial" w:cs="Arial"/>
          <w:color w:val="000000"/>
          <w:sz w:val="20"/>
          <w:szCs w:val="20"/>
        </w:rPr>
      </w:pPr>
      <w:r w:rsidRPr="00072E24">
        <w:rPr>
          <w:rFonts w:ascii="Arial" w:hAnsi="Arial" w:cs="Arial"/>
          <w:b/>
          <w:bCs/>
          <w:sz w:val="20"/>
          <w:szCs w:val="20"/>
        </w:rPr>
        <w:t xml:space="preserve">PR Agentura </w:t>
      </w:r>
      <w:r w:rsidR="00584A6A" w:rsidRPr="00757936">
        <w:rPr>
          <w:rFonts w:ascii="Arial" w:hAnsi="Arial" w:cs="Arial"/>
          <w:b/>
          <w:bCs/>
          <w:sz w:val="20"/>
          <w:szCs w:val="20"/>
        </w:rPr>
        <w:t>pro Evropu</w:t>
      </w:r>
      <w:r w:rsidR="00584A6A" w:rsidRPr="00757936">
        <w:rPr>
          <w:rFonts w:ascii="Arial" w:hAnsi="Arial" w:cs="Arial"/>
          <w:b/>
          <w:color w:val="000000"/>
          <w:sz w:val="20"/>
          <w:szCs w:val="20"/>
          <w:u w:val="single"/>
        </w:rPr>
        <w:t xml:space="preserve"> </w:t>
      </w:r>
    </w:p>
    <w:p w14:paraId="04F95BDA" w14:textId="77777777" w:rsidR="00584A6A" w:rsidRPr="00757936" w:rsidRDefault="00584A6A" w:rsidP="00D2201A">
      <w:pPr>
        <w:ind w:right="-1"/>
        <w:rPr>
          <w:rFonts w:ascii="Arial" w:hAnsi="Arial" w:cs="Arial"/>
          <w:b/>
          <w:bCs/>
          <w:sz w:val="20"/>
          <w:szCs w:val="20"/>
        </w:rPr>
      </w:pPr>
      <w:r w:rsidRPr="00757936">
        <w:rPr>
          <w:rFonts w:ascii="Arial" w:hAnsi="Arial" w:cs="Arial"/>
          <w:b/>
          <w:bCs/>
          <w:sz w:val="20"/>
          <w:szCs w:val="20"/>
        </w:rPr>
        <w:t>Freya Ward</w:t>
      </w:r>
    </w:p>
    <w:p w14:paraId="6D4566C6" w14:textId="77777777" w:rsidR="00584A6A" w:rsidRPr="00757936" w:rsidRDefault="00584A6A" w:rsidP="00D2201A">
      <w:pPr>
        <w:ind w:right="-1"/>
        <w:rPr>
          <w:rFonts w:ascii="Arial" w:hAnsi="Arial" w:cs="Arial"/>
          <w:b/>
          <w:bCs/>
          <w:sz w:val="20"/>
          <w:szCs w:val="20"/>
        </w:rPr>
      </w:pPr>
      <w:r w:rsidRPr="00757936">
        <w:rPr>
          <w:rFonts w:ascii="Arial" w:hAnsi="Arial" w:cs="Arial"/>
          <w:b/>
          <w:bCs/>
          <w:sz w:val="20"/>
          <w:szCs w:val="20"/>
        </w:rPr>
        <w:t>Napier Partnership</w:t>
      </w:r>
    </w:p>
    <w:p w14:paraId="1A84BD0F" w14:textId="77777777" w:rsidR="00584A6A" w:rsidRPr="00757936" w:rsidRDefault="00584A6A" w:rsidP="00D2201A">
      <w:pPr>
        <w:ind w:right="-1"/>
        <w:rPr>
          <w:rFonts w:ascii="Arial" w:hAnsi="Arial" w:cs="Arial"/>
          <w:bCs/>
          <w:sz w:val="20"/>
          <w:szCs w:val="20"/>
        </w:rPr>
      </w:pPr>
      <w:r w:rsidRPr="00757936">
        <w:rPr>
          <w:rFonts w:ascii="Arial" w:hAnsi="Arial" w:cs="Arial"/>
          <w:bCs/>
          <w:sz w:val="20"/>
          <w:szCs w:val="20"/>
        </w:rPr>
        <w:t>Tel: +44 1243 531123</w:t>
      </w:r>
    </w:p>
    <w:p w14:paraId="71559720" w14:textId="77777777" w:rsidR="00584A6A" w:rsidRPr="00757936" w:rsidRDefault="00584A6A" w:rsidP="00D2201A">
      <w:pPr>
        <w:ind w:right="-1"/>
        <w:rPr>
          <w:rStyle w:val="Hyperlink"/>
          <w:rFonts w:ascii="Arial" w:hAnsi="Arial" w:cs="Arial"/>
          <w:sz w:val="20"/>
          <w:szCs w:val="20"/>
        </w:rPr>
      </w:pPr>
      <w:r w:rsidRPr="00757936">
        <w:rPr>
          <w:rFonts w:ascii="Arial" w:hAnsi="Arial" w:cs="Arial"/>
          <w:bCs/>
          <w:sz w:val="20"/>
          <w:szCs w:val="20"/>
        </w:rPr>
        <w:t xml:space="preserve">E-mail: </w:t>
      </w:r>
      <w:hyperlink r:id="rId21" w:history="1">
        <w:r w:rsidRPr="006F434D">
          <w:rPr>
            <w:rStyle w:val="Hyperlink"/>
            <w:rFonts w:ascii="Arial" w:hAnsi="Arial" w:cs="Arial"/>
            <w:color w:val="0000FF"/>
            <w:sz w:val="20"/>
            <w:szCs w:val="20"/>
          </w:rPr>
          <w:t>Freya@napierb2b.com</w:t>
        </w:r>
      </w:hyperlink>
    </w:p>
    <w:p w14:paraId="7B93AD0B" w14:textId="77777777" w:rsidR="00584A6A" w:rsidRPr="00757936" w:rsidRDefault="00584A6A" w:rsidP="00D2201A">
      <w:pPr>
        <w:ind w:right="-1"/>
        <w:rPr>
          <w:rFonts w:ascii="Arial" w:hAnsi="Arial" w:cs="Arial"/>
          <w:b/>
          <w:bCs/>
          <w:sz w:val="20"/>
          <w:szCs w:val="20"/>
        </w:rPr>
      </w:pPr>
    </w:p>
    <w:p w14:paraId="6B627A1A" w14:textId="77777777" w:rsidR="00584A6A" w:rsidRPr="00757936" w:rsidRDefault="00584A6A" w:rsidP="00D2201A">
      <w:pPr>
        <w:ind w:right="-1"/>
        <w:rPr>
          <w:rFonts w:ascii="Arial" w:hAnsi="Arial" w:cs="Arial"/>
          <w:b/>
          <w:bCs/>
          <w:sz w:val="20"/>
          <w:szCs w:val="20"/>
        </w:rPr>
      </w:pPr>
      <w:r w:rsidRPr="00757936">
        <w:rPr>
          <w:rFonts w:ascii="Arial" w:hAnsi="Arial" w:cs="Arial"/>
          <w:b/>
          <w:bCs/>
          <w:sz w:val="20"/>
          <w:szCs w:val="20"/>
        </w:rPr>
        <w:t>Premier Farnell:</w:t>
      </w:r>
    </w:p>
    <w:p w14:paraId="3BF32212" w14:textId="77777777" w:rsidR="00584A6A" w:rsidRPr="00757936" w:rsidRDefault="00584A6A" w:rsidP="00D2201A">
      <w:pPr>
        <w:ind w:right="-1"/>
        <w:rPr>
          <w:rFonts w:ascii="Arial" w:hAnsi="Arial" w:cs="Arial"/>
          <w:b/>
          <w:bCs/>
          <w:sz w:val="20"/>
          <w:szCs w:val="20"/>
        </w:rPr>
      </w:pPr>
      <w:r w:rsidRPr="00757936">
        <w:rPr>
          <w:rFonts w:ascii="Arial" w:hAnsi="Arial" w:cs="Arial"/>
          <w:b/>
          <w:bCs/>
          <w:sz w:val="20"/>
          <w:szCs w:val="20"/>
        </w:rPr>
        <w:t>Holly Smart</w:t>
      </w:r>
    </w:p>
    <w:p w14:paraId="796ED24B" w14:textId="77777777" w:rsidR="00584A6A" w:rsidRPr="00757936" w:rsidRDefault="00584A6A" w:rsidP="00D2201A">
      <w:pPr>
        <w:ind w:right="-1"/>
        <w:rPr>
          <w:rFonts w:ascii="Arial" w:hAnsi="Arial" w:cs="Arial"/>
          <w:b/>
          <w:bCs/>
          <w:sz w:val="20"/>
          <w:szCs w:val="20"/>
        </w:rPr>
      </w:pPr>
      <w:r w:rsidRPr="00757936">
        <w:rPr>
          <w:rFonts w:ascii="Arial" w:hAnsi="Arial" w:cs="Arial"/>
          <w:b/>
          <w:bCs/>
          <w:sz w:val="20"/>
          <w:szCs w:val="20"/>
        </w:rPr>
        <w:t>Vedoucí oddělení PR a externí komunikace</w:t>
      </w:r>
    </w:p>
    <w:p w14:paraId="2B868B92" w14:textId="77777777" w:rsidR="00584A6A" w:rsidRPr="00757936" w:rsidRDefault="00584A6A" w:rsidP="00D2201A">
      <w:pPr>
        <w:ind w:right="-1"/>
        <w:rPr>
          <w:rFonts w:ascii="Arial" w:hAnsi="Arial" w:cs="Arial"/>
          <w:bCs/>
          <w:sz w:val="20"/>
          <w:szCs w:val="20"/>
        </w:rPr>
      </w:pPr>
      <w:r w:rsidRPr="00757936">
        <w:rPr>
          <w:rFonts w:ascii="Arial" w:hAnsi="Arial" w:cs="Arial"/>
          <w:bCs/>
          <w:sz w:val="20"/>
          <w:szCs w:val="20"/>
        </w:rPr>
        <w:t>Tel: +44 113 2485188</w:t>
      </w:r>
    </w:p>
    <w:p w14:paraId="63A5317C" w14:textId="77777777" w:rsidR="00584A6A" w:rsidRPr="00757936" w:rsidRDefault="00584A6A" w:rsidP="00D2201A">
      <w:pPr>
        <w:ind w:right="-1"/>
        <w:rPr>
          <w:rFonts w:ascii="Arial" w:hAnsi="Arial" w:cs="Arial"/>
          <w:sz w:val="20"/>
          <w:szCs w:val="20"/>
          <w:u w:val="single"/>
        </w:rPr>
      </w:pPr>
      <w:r w:rsidRPr="00757936">
        <w:rPr>
          <w:rFonts w:ascii="Arial" w:hAnsi="Arial" w:cs="Arial"/>
          <w:bCs/>
          <w:sz w:val="20"/>
          <w:szCs w:val="20"/>
        </w:rPr>
        <w:t>E-mail:</w:t>
      </w:r>
      <w:r w:rsidRPr="00757936">
        <w:rPr>
          <w:rFonts w:ascii="Arial" w:hAnsi="Arial" w:cs="Arial"/>
          <w:b/>
          <w:bCs/>
          <w:sz w:val="20"/>
          <w:szCs w:val="20"/>
        </w:rPr>
        <w:t> </w:t>
      </w:r>
      <w:hyperlink r:id="rId22" w:history="1">
        <w:r w:rsidRPr="006F434D">
          <w:rPr>
            <w:rStyle w:val="Hyperlink"/>
            <w:rFonts w:ascii="Arial" w:hAnsi="Arial" w:cs="Arial"/>
            <w:color w:val="0000FF"/>
            <w:sz w:val="20"/>
            <w:szCs w:val="20"/>
          </w:rPr>
          <w:t>hsmart@premierfarnell.com</w:t>
        </w:r>
      </w:hyperlink>
      <w:r w:rsidRPr="006F434D">
        <w:rPr>
          <w:rFonts w:ascii="Arial" w:hAnsi="Arial" w:cs="Arial"/>
          <w:bCs/>
          <w:color w:val="0000FF"/>
          <w:sz w:val="20"/>
          <w:szCs w:val="20"/>
        </w:rPr>
        <w:t xml:space="preserve">  </w:t>
      </w:r>
    </w:p>
    <w:p w14:paraId="53684CE5" w14:textId="77777777" w:rsidR="00DF1061" w:rsidRPr="00757936" w:rsidRDefault="00DF1061" w:rsidP="00D2201A">
      <w:pPr>
        <w:ind w:right="-1"/>
        <w:rPr>
          <w:rFonts w:ascii="Arial" w:hAnsi="Arial" w:cs="Arial"/>
          <w:sz w:val="20"/>
          <w:szCs w:val="20"/>
        </w:rPr>
      </w:pPr>
    </w:p>
    <w:sectPr w:rsidR="00DF1061" w:rsidRPr="00757936" w:rsidSect="007E2278">
      <w:headerReference w:type="even" r:id="rId23"/>
      <w:headerReference w:type="default" r:id="rId24"/>
      <w:footerReference w:type="even" r:id="rId25"/>
      <w:footerReference w:type="default" r:id="rId26"/>
      <w:headerReference w:type="first" r:id="rId27"/>
      <w:footerReference w:type="first" r:id="rId28"/>
      <w:pgSz w:w="11900" w:h="16840"/>
      <w:pgMar w:top="1440" w:right="1127" w:bottom="1440" w:left="1276" w:header="709" w:footer="22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C612B" w14:textId="77777777" w:rsidR="00C1310A" w:rsidRDefault="00C1310A" w:rsidP="001C020F">
      <w:r>
        <w:separator/>
      </w:r>
    </w:p>
  </w:endnote>
  <w:endnote w:type="continuationSeparator" w:id="0">
    <w:p w14:paraId="707FB4C0" w14:textId="77777777" w:rsidR="00C1310A" w:rsidRDefault="00C1310A"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5850" w14:textId="5B744049" w:rsidR="00844F2C" w:rsidRDefault="00844F2C" w:rsidP="00844F2C">
    <w:pPr>
      <w:tabs>
        <w:tab w:val="center" w:pos="4513"/>
        <w:tab w:val="right" w:pos="9026"/>
      </w:tabs>
      <w:rPr>
        <w:rFonts w:ascii="Caibri" w:eastAsia="Caibri" w:hAnsi="Caibri" w:cs="Caibri"/>
        <w:sz w:val="22"/>
        <w:szCs w:val="22"/>
      </w:rPr>
    </w:pPr>
    <w:r>
      <w:rPr>
        <w:rFonts w:ascii="Caibri" w:hAnsi="Caibri"/>
        <w:sz w:val="22"/>
        <w:szCs w:val="22"/>
      </w:rPr>
      <w:t>FAR300en</w:t>
    </w:r>
    <w:bookmarkStart w:id="1" w:name="XILINX1FooterEvenPages"/>
  </w:p>
  <w:p w14:paraId="5B93E24E" w14:textId="77777777" w:rsidR="00844F2C" w:rsidRDefault="00844F2C"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1"/>
  <w:p w14:paraId="535DC418" w14:textId="77777777" w:rsidR="00844F2C" w:rsidRDefault="00844F2C" w:rsidP="00844F2C">
    <w:pPr>
      <w:tabs>
        <w:tab w:val="center" w:pos="4513"/>
        <w:tab w:val="right" w:pos="9026"/>
      </w:tabs>
      <w:rPr>
        <w:rFonts w:ascii="Caibri" w:eastAsia="Caibri" w:hAnsi="Caibri" w:cs="Ca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E2A1" w14:textId="77777777" w:rsidR="00561829" w:rsidRDefault="00CD062D" w:rsidP="00844F2C">
    <w:pPr>
      <w:tabs>
        <w:tab w:val="center" w:pos="4513"/>
        <w:tab w:val="right" w:pos="9026"/>
      </w:tabs>
      <w:rPr>
        <w:rFonts w:ascii="Caibri" w:eastAsia="Caibri" w:hAnsi="Caibri" w:cs="Caibri"/>
        <w:sz w:val="22"/>
        <w:szCs w:val="22"/>
      </w:rPr>
    </w:pPr>
    <w:r>
      <w:rPr>
        <w:rFonts w:ascii="Caibri" w:hAnsi="Caibri"/>
        <w:sz w:val="22"/>
        <w:szCs w:val="22"/>
      </w:rPr>
      <w:t>FAR245en</w:t>
    </w:r>
    <w:bookmarkStart w:id="2" w:name="XILINX1FooterPrimary"/>
  </w:p>
  <w:p w14:paraId="09590EDC" w14:textId="77777777" w:rsidR="00844F2C" w:rsidRDefault="00844F2C"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2"/>
  <w:p w14:paraId="389BD5A1" w14:textId="77777777" w:rsidR="00844F2C" w:rsidRDefault="00844F2C" w:rsidP="00981FA2">
    <w:pPr>
      <w:tabs>
        <w:tab w:val="center" w:pos="4513"/>
        <w:tab w:val="right" w:pos="9026"/>
      </w:tabs>
      <w:rPr>
        <w:rFonts w:ascii="Caibri" w:eastAsia="Caibri" w:hAnsi="Caibri" w:cs="Ca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74E9" w14:textId="69972D97" w:rsidR="00844F2C" w:rsidRPr="00757936" w:rsidRDefault="00844F2C" w:rsidP="00844F2C">
    <w:pPr>
      <w:tabs>
        <w:tab w:val="center" w:pos="4513"/>
        <w:tab w:val="right" w:pos="9026"/>
      </w:tabs>
      <w:rPr>
        <w:rFonts w:ascii="Arial" w:eastAsia="Caibri" w:hAnsi="Arial" w:cs="Arial"/>
        <w:sz w:val="20"/>
        <w:szCs w:val="20"/>
      </w:rPr>
    </w:pPr>
    <w:r w:rsidRPr="00757936">
      <w:rPr>
        <w:rFonts w:ascii="Arial" w:hAnsi="Arial" w:cs="Arial"/>
        <w:sz w:val="20"/>
        <w:szCs w:val="20"/>
      </w:rPr>
      <w:t>FAR30</w:t>
    </w:r>
    <w:r w:rsidR="00757936" w:rsidRPr="00757936">
      <w:rPr>
        <w:rFonts w:ascii="Arial" w:hAnsi="Arial" w:cs="Arial"/>
        <w:sz w:val="20"/>
        <w:szCs w:val="20"/>
      </w:rPr>
      <w:t>6</w:t>
    </w:r>
    <w:bookmarkStart w:id="3" w:name="XILINX1FooterFirstPage"/>
    <w:r w:rsidR="00757936" w:rsidRPr="00757936">
      <w:rPr>
        <w:rFonts w:ascii="Arial" w:hAnsi="Arial" w:cs="Arial"/>
        <w:sz w:val="20"/>
        <w:szCs w:val="20"/>
      </w:rPr>
      <w:t>cz</w:t>
    </w:r>
  </w:p>
  <w:p w14:paraId="42EDE603" w14:textId="77777777" w:rsidR="00844F2C" w:rsidRDefault="00844F2C"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3"/>
  <w:p w14:paraId="3B9DD2FD" w14:textId="77777777" w:rsidR="00844F2C" w:rsidRDefault="00844F2C" w:rsidP="00844F2C">
    <w:pPr>
      <w:tabs>
        <w:tab w:val="center" w:pos="4513"/>
        <w:tab w:val="right" w:pos="9026"/>
      </w:tabs>
      <w:rPr>
        <w:rFonts w:ascii="Caibri" w:eastAsia="Caibri" w:hAnsi="Caibri" w:cs="Ca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B190" w14:textId="77777777" w:rsidR="00C1310A" w:rsidRDefault="00C1310A" w:rsidP="001C020F">
      <w:r>
        <w:separator/>
      </w:r>
    </w:p>
  </w:footnote>
  <w:footnote w:type="continuationSeparator" w:id="0">
    <w:p w14:paraId="2DACADB4" w14:textId="77777777" w:rsidR="00C1310A" w:rsidRDefault="00C1310A" w:rsidP="001C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BB35" w14:textId="59F24DB7" w:rsidR="00844F2C" w:rsidRDefault="006F434D" w:rsidP="00844F2C">
    <w:pPr>
      <w:tabs>
        <w:tab w:val="left" w:pos="4905"/>
      </w:tabs>
      <w:rPr>
        <w:noProof/>
      </w:rPr>
    </w:pPr>
    <w:r w:rsidRPr="003A7EBF">
      <w:rPr>
        <w:noProof/>
        <w:lang w:val="en-GB" w:eastAsia="en-GB"/>
      </w:rPr>
      <w:drawing>
        <wp:anchor distT="0" distB="0" distL="114300" distR="114300" simplePos="0" relativeHeight="251676160" behindDoc="1" locked="0" layoutInCell="1" allowOverlap="1" wp14:anchorId="2D4F58BA" wp14:editId="2BA9680E">
          <wp:simplePos x="0" y="0"/>
          <wp:positionH relativeFrom="margin">
            <wp:align>left</wp:align>
          </wp:positionH>
          <wp:positionV relativeFrom="paragraph">
            <wp:posOffset>5080</wp:posOffset>
          </wp:positionV>
          <wp:extent cx="2028825" cy="459740"/>
          <wp:effectExtent l="0" t="0" r="9525" b="0"/>
          <wp:wrapTight wrapText="bothSides">
            <wp:wrapPolygon edited="0">
              <wp:start x="0" y="0"/>
              <wp:lineTo x="0" y="20586"/>
              <wp:lineTo x="21499" y="20586"/>
              <wp:lineTo x="21499" y="0"/>
              <wp:lineTo x="0" y="0"/>
            </wp:wrapPolygon>
          </wp:wrapTight>
          <wp:docPr id="2" name="Picture 2"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extLst>
                      <a:ext uri="{28A0092B-C50C-407E-A947-70E740481C1C}">
                        <a14:useLocalDpi xmlns:a14="http://schemas.microsoft.com/office/drawing/2010/main" val="0"/>
                      </a:ext>
                    </a:extLst>
                  </a:blip>
                  <a:stretch>
                    <a:fillRect/>
                  </a:stretch>
                </pic:blipFill>
                <pic:spPr>
                  <a:xfrm>
                    <a:off x="0" y="0"/>
                    <a:ext cx="2028825" cy="459740"/>
                  </a:xfrm>
                  <a:prstGeom prst="rect">
                    <a:avLst/>
                  </a:prstGeom>
                </pic:spPr>
              </pic:pic>
            </a:graphicData>
          </a:graphic>
        </wp:anchor>
      </w:drawing>
    </w:r>
    <w:r>
      <w:rPr>
        <w:noProof/>
        <w:lang w:val="en-GB" w:eastAsia="en-GB"/>
      </w:rPr>
      <w:drawing>
        <wp:anchor distT="0" distB="0" distL="114300" distR="114300" simplePos="0" relativeHeight="251675136" behindDoc="1" locked="0" layoutInCell="1" allowOverlap="1" wp14:anchorId="0AFD30F5" wp14:editId="1388D63E">
          <wp:simplePos x="0" y="0"/>
          <wp:positionH relativeFrom="margin">
            <wp:align>right</wp:align>
          </wp:positionH>
          <wp:positionV relativeFrom="paragraph">
            <wp:posOffset>-2540</wp:posOffset>
          </wp:positionV>
          <wp:extent cx="2714625" cy="464039"/>
          <wp:effectExtent l="0" t="0" r="0" b="0"/>
          <wp:wrapTight wrapText="bothSides">
            <wp:wrapPolygon edited="0">
              <wp:start x="0" y="0"/>
              <wp:lineTo x="0" y="20416"/>
              <wp:lineTo x="10156" y="20416"/>
              <wp:lineTo x="12581" y="20416"/>
              <wp:lineTo x="21373" y="15978"/>
              <wp:lineTo x="21373" y="5326"/>
              <wp:lineTo x="10156" y="0"/>
              <wp:lineTo x="0" y="0"/>
            </wp:wrapPolygon>
          </wp:wrapTight>
          <wp:docPr id="1" name="Picture 1"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extLst>
                      <a:ext uri="{28A0092B-C50C-407E-A947-70E740481C1C}">
                        <a14:useLocalDpi xmlns:a14="http://schemas.microsoft.com/office/drawing/2010/main" val="0"/>
                      </a:ext>
                    </a:extLst>
                  </a:blip>
                  <a:stretch>
                    <a:fillRect/>
                  </a:stretch>
                </pic:blipFill>
                <pic:spPr>
                  <a:xfrm>
                    <a:off x="0" y="0"/>
                    <a:ext cx="2714625" cy="464039"/>
                  </a:xfrm>
                  <a:prstGeom prst="rect">
                    <a:avLst/>
                  </a:prstGeom>
                </pic:spPr>
              </pic:pic>
            </a:graphicData>
          </a:graphic>
        </wp:anchor>
      </w:drawing>
    </w:r>
  </w:p>
  <w:p w14:paraId="4039E819" w14:textId="110723BA" w:rsidR="00844F2C" w:rsidRDefault="00844F2C" w:rsidP="00844F2C">
    <w:pPr>
      <w:tabs>
        <w:tab w:val="left" w:pos="4905"/>
      </w:tabs>
      <w:rPr>
        <w:noProof/>
        <w:lang w:eastAsia="en-GB"/>
      </w:rPr>
    </w:pPr>
  </w:p>
  <w:p w14:paraId="0889ED10" w14:textId="77777777" w:rsidR="00844F2C" w:rsidRDefault="00844F2C" w:rsidP="00844F2C">
    <w:pPr>
      <w:tabs>
        <w:tab w:val="left" w:pos="49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6476" w14:textId="77777777" w:rsidR="001C020F" w:rsidRDefault="008947C0" w:rsidP="001C020F">
    <w:pPr>
      <w:tabs>
        <w:tab w:val="left" w:pos="4905"/>
      </w:tabs>
      <w:rPr>
        <w:noProof/>
      </w:rPr>
    </w:pPr>
    <w:r>
      <w:rPr>
        <w:noProof/>
      </w:rPr>
      <w:drawing>
        <wp:anchor distT="0" distB="0" distL="114300" distR="114300" simplePos="0" relativeHeight="251658752" behindDoc="0" locked="0" layoutInCell="1" allowOverlap="1" wp14:anchorId="76CC03B6" wp14:editId="0BB750CF">
          <wp:simplePos x="0" y="0"/>
          <wp:positionH relativeFrom="column">
            <wp:posOffset>1964055</wp:posOffset>
          </wp:positionH>
          <wp:positionV relativeFrom="paragraph">
            <wp:posOffset>16510</wp:posOffset>
          </wp:positionV>
          <wp:extent cx="1885950" cy="3219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2A3DA10" wp14:editId="32F14884">
          <wp:simplePos x="0" y="0"/>
          <wp:positionH relativeFrom="column">
            <wp:posOffset>4250055</wp:posOffset>
          </wp:positionH>
          <wp:positionV relativeFrom="paragraph">
            <wp:posOffset>84455</wp:posOffset>
          </wp:positionV>
          <wp:extent cx="1914525" cy="185420"/>
          <wp:effectExtent l="0" t="0" r="9525" b="5080"/>
          <wp:wrapNone/>
          <wp:docPr id="5" name="Picture 5"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hidden="0" allowOverlap="1" wp14:anchorId="6D77CC56" wp14:editId="27E6FE06">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14:paraId="4165C10F" w14:textId="77777777" w:rsidR="001C020F" w:rsidRDefault="001C020F" w:rsidP="001C020F">
    <w:pPr>
      <w:tabs>
        <w:tab w:val="left" w:pos="4905"/>
      </w:tabs>
      <w:rPr>
        <w:noProof/>
        <w:lang w:eastAsia="en-GB"/>
      </w:rPr>
    </w:pPr>
  </w:p>
  <w:p w14:paraId="77AC2D25" w14:textId="77777777" w:rsidR="001C020F" w:rsidRDefault="001C020F" w:rsidP="001C020F">
    <w:pPr>
      <w:tabs>
        <w:tab w:val="left" w:pos="49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6270" w14:textId="73375F9B" w:rsidR="00844F2C" w:rsidRDefault="002A4DAD" w:rsidP="00844F2C">
    <w:pPr>
      <w:tabs>
        <w:tab w:val="left" w:pos="4905"/>
      </w:tabs>
      <w:rPr>
        <w:noProof/>
      </w:rPr>
    </w:pPr>
    <w:r w:rsidRPr="003A7EBF">
      <w:rPr>
        <w:noProof/>
        <w:lang w:val="en-GB" w:eastAsia="en-GB"/>
      </w:rPr>
      <w:drawing>
        <wp:inline distT="0" distB="0" distL="0" distR="0" wp14:anchorId="2E5BAD2E" wp14:editId="0E0F7888">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Pr>
        <w:noProof/>
        <w:lang w:val="en-GB" w:eastAsia="en-GB"/>
      </w:rPr>
      <w:drawing>
        <wp:anchor distT="0" distB="0" distL="114300" distR="114300" simplePos="0" relativeHeight="251673088" behindDoc="1" locked="0" layoutInCell="1" allowOverlap="1" wp14:anchorId="6B285CF9" wp14:editId="2D385A72">
          <wp:simplePos x="0" y="0"/>
          <wp:positionH relativeFrom="margin">
            <wp:align>right</wp:align>
          </wp:positionH>
          <wp:positionV relativeFrom="paragraph">
            <wp:posOffset>-2540</wp:posOffset>
          </wp:positionV>
          <wp:extent cx="2714625" cy="464039"/>
          <wp:effectExtent l="0" t="0" r="0" b="0"/>
          <wp:wrapTight wrapText="bothSides">
            <wp:wrapPolygon edited="0">
              <wp:start x="0" y="0"/>
              <wp:lineTo x="0" y="20416"/>
              <wp:lineTo x="10156" y="20416"/>
              <wp:lineTo x="12581" y="20416"/>
              <wp:lineTo x="21373" y="15978"/>
              <wp:lineTo x="21373" y="5326"/>
              <wp:lineTo x="10156" y="0"/>
              <wp:lineTo x="0" y="0"/>
            </wp:wrapPolygon>
          </wp:wrapTight>
          <wp:docPr id="10" name="Picture 10"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extLst>
                      <a:ext uri="{28A0092B-C50C-407E-A947-70E740481C1C}">
                        <a14:useLocalDpi xmlns:a14="http://schemas.microsoft.com/office/drawing/2010/main" val="0"/>
                      </a:ext>
                    </a:extLst>
                  </a:blip>
                  <a:stretch>
                    <a:fillRect/>
                  </a:stretch>
                </pic:blipFill>
                <pic:spPr>
                  <a:xfrm>
                    <a:off x="0" y="0"/>
                    <a:ext cx="2714625" cy="4640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D52"/>
    <w:multiLevelType w:val="hybridMultilevel"/>
    <w:tmpl w:val="0822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2" w15:restartNumberingAfterBreak="0">
    <w:nsid w:val="404E3031"/>
    <w:multiLevelType w:val="hybridMultilevel"/>
    <w:tmpl w:val="2056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4" w15:restartNumberingAfterBreak="0">
    <w:nsid w:val="63586AA2"/>
    <w:multiLevelType w:val="multilevel"/>
    <w:tmpl w:val="B98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317D6B"/>
    <w:multiLevelType w:val="multilevel"/>
    <w:tmpl w:val="B98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29"/>
    <w:rsid w:val="00025880"/>
    <w:rsid w:val="00030528"/>
    <w:rsid w:val="00036964"/>
    <w:rsid w:val="00037E0B"/>
    <w:rsid w:val="000602C4"/>
    <w:rsid w:val="000B6459"/>
    <w:rsid w:val="000B72F9"/>
    <w:rsid w:val="000F3079"/>
    <w:rsid w:val="001772EF"/>
    <w:rsid w:val="0019729E"/>
    <w:rsid w:val="001A5D37"/>
    <w:rsid w:val="001C020F"/>
    <w:rsid w:val="0021388C"/>
    <w:rsid w:val="0024115E"/>
    <w:rsid w:val="00281809"/>
    <w:rsid w:val="002851E0"/>
    <w:rsid w:val="002A4DAD"/>
    <w:rsid w:val="002B1DD5"/>
    <w:rsid w:val="002F4D42"/>
    <w:rsid w:val="00300143"/>
    <w:rsid w:val="003355E4"/>
    <w:rsid w:val="00374657"/>
    <w:rsid w:val="003B1256"/>
    <w:rsid w:val="003C299A"/>
    <w:rsid w:val="003C6234"/>
    <w:rsid w:val="0040043B"/>
    <w:rsid w:val="00400A1A"/>
    <w:rsid w:val="00443DFB"/>
    <w:rsid w:val="004606F9"/>
    <w:rsid w:val="004654FF"/>
    <w:rsid w:val="004A73DB"/>
    <w:rsid w:val="004B31FB"/>
    <w:rsid w:val="004D1FF2"/>
    <w:rsid w:val="004E4564"/>
    <w:rsid w:val="004F2832"/>
    <w:rsid w:val="004F4A8B"/>
    <w:rsid w:val="0051035B"/>
    <w:rsid w:val="00516051"/>
    <w:rsid w:val="00526F84"/>
    <w:rsid w:val="00537322"/>
    <w:rsid w:val="0054546E"/>
    <w:rsid w:val="00554BE7"/>
    <w:rsid w:val="00561829"/>
    <w:rsid w:val="00566101"/>
    <w:rsid w:val="00581A3D"/>
    <w:rsid w:val="00584A6A"/>
    <w:rsid w:val="00594611"/>
    <w:rsid w:val="005A3ABD"/>
    <w:rsid w:val="005A4483"/>
    <w:rsid w:val="005B0986"/>
    <w:rsid w:val="005B5A16"/>
    <w:rsid w:val="005B5E64"/>
    <w:rsid w:val="005D082A"/>
    <w:rsid w:val="00624C37"/>
    <w:rsid w:val="00627CEC"/>
    <w:rsid w:val="00671F87"/>
    <w:rsid w:val="006C4772"/>
    <w:rsid w:val="006C7FFA"/>
    <w:rsid w:val="006F2C3F"/>
    <w:rsid w:val="006F434D"/>
    <w:rsid w:val="00701E60"/>
    <w:rsid w:val="007160F1"/>
    <w:rsid w:val="00752E12"/>
    <w:rsid w:val="00757936"/>
    <w:rsid w:val="007628BF"/>
    <w:rsid w:val="007735BF"/>
    <w:rsid w:val="00792A25"/>
    <w:rsid w:val="00795C13"/>
    <w:rsid w:val="00796FDC"/>
    <w:rsid w:val="007B53EF"/>
    <w:rsid w:val="007D2586"/>
    <w:rsid w:val="007D4735"/>
    <w:rsid w:val="007E2278"/>
    <w:rsid w:val="00844F2C"/>
    <w:rsid w:val="00847091"/>
    <w:rsid w:val="008947C0"/>
    <w:rsid w:val="008B1978"/>
    <w:rsid w:val="008B2800"/>
    <w:rsid w:val="008B5CAF"/>
    <w:rsid w:val="008E0C39"/>
    <w:rsid w:val="00933F91"/>
    <w:rsid w:val="009561B0"/>
    <w:rsid w:val="009617D1"/>
    <w:rsid w:val="00981FA2"/>
    <w:rsid w:val="009F0FCF"/>
    <w:rsid w:val="00A216C0"/>
    <w:rsid w:val="00A21E27"/>
    <w:rsid w:val="00A27E42"/>
    <w:rsid w:val="00A72638"/>
    <w:rsid w:val="00A757AF"/>
    <w:rsid w:val="00AC3326"/>
    <w:rsid w:val="00AE0CFB"/>
    <w:rsid w:val="00B73662"/>
    <w:rsid w:val="00BB0019"/>
    <w:rsid w:val="00BB1655"/>
    <w:rsid w:val="00BB40C7"/>
    <w:rsid w:val="00BD3C05"/>
    <w:rsid w:val="00C1310A"/>
    <w:rsid w:val="00C178B6"/>
    <w:rsid w:val="00C2016C"/>
    <w:rsid w:val="00C43ACC"/>
    <w:rsid w:val="00C55F11"/>
    <w:rsid w:val="00C57C7D"/>
    <w:rsid w:val="00C90F83"/>
    <w:rsid w:val="00C92E7C"/>
    <w:rsid w:val="00CD062D"/>
    <w:rsid w:val="00D001B9"/>
    <w:rsid w:val="00D16580"/>
    <w:rsid w:val="00D2201A"/>
    <w:rsid w:val="00D31303"/>
    <w:rsid w:val="00D33F8F"/>
    <w:rsid w:val="00D422E6"/>
    <w:rsid w:val="00D50A7E"/>
    <w:rsid w:val="00D72F43"/>
    <w:rsid w:val="00D83511"/>
    <w:rsid w:val="00D91F6A"/>
    <w:rsid w:val="00D92BCE"/>
    <w:rsid w:val="00DD2D9B"/>
    <w:rsid w:val="00DF1061"/>
    <w:rsid w:val="00E144FC"/>
    <w:rsid w:val="00EB29F1"/>
    <w:rsid w:val="00EF4CAF"/>
    <w:rsid w:val="00F30832"/>
    <w:rsid w:val="00F54CFC"/>
    <w:rsid w:val="00F875C1"/>
    <w:rsid w:val="00F93DDE"/>
    <w:rsid w:val="00FC1A00"/>
    <w:rsid w:val="00FE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90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cs-C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eastAsia="hi-IN" w:bidi="hi-IN"/>
    </w:rPr>
  </w:style>
  <w:style w:type="paragraph" w:styleId="ListParagraph">
    <w:name w:val="List Paragraph"/>
    <w:basedOn w:val="Normal"/>
    <w:uiPriority w:val="34"/>
    <w:qFormat/>
    <w:rsid w:val="004F2832"/>
    <w:pPr>
      <w:ind w:left="720"/>
      <w:contextualSpacing/>
    </w:pPr>
  </w:style>
  <w:style w:type="paragraph" w:styleId="NormalWeb">
    <w:name w:val="Normal (Web)"/>
    <w:basedOn w:val="Normal"/>
    <w:uiPriority w:val="99"/>
    <w:semiHidden/>
    <w:unhideWhenUsed/>
    <w:rsid w:val="004F28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NoSpacing">
    <w:name w:val="No Spacing"/>
    <w:uiPriority w:val="1"/>
    <w:qFormat/>
    <w:rsid w:val="004F283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character" w:customStyle="1" w:styleId="UnresolvedMention2">
    <w:name w:val="Unresolved Mention2"/>
    <w:basedOn w:val="DefaultParagraphFont"/>
    <w:uiPriority w:val="99"/>
    <w:semiHidden/>
    <w:unhideWhenUsed/>
    <w:rsid w:val="00D50A7E"/>
    <w:rPr>
      <w:color w:val="808080"/>
      <w:shd w:val="clear" w:color="auto" w:fill="E6E6E6"/>
    </w:rPr>
  </w:style>
  <w:style w:type="paragraph" w:styleId="Revision">
    <w:name w:val="Revision"/>
    <w:hidden/>
    <w:uiPriority w:val="99"/>
    <w:semiHidden/>
    <w:rsid w:val="009617D1"/>
    <w:pPr>
      <w:pBdr>
        <w:top w:val="none" w:sz="0" w:space="0" w:color="auto"/>
        <w:left w:val="none" w:sz="0" w:space="0" w:color="auto"/>
        <w:bottom w:val="none" w:sz="0" w:space="0" w:color="auto"/>
        <w:right w:val="none" w:sz="0" w:space="0" w:color="auto"/>
        <w:between w:val="none" w:sz="0" w:space="0" w:color="auto"/>
      </w:pBdr>
    </w:pPr>
  </w:style>
  <w:style w:type="character" w:styleId="FollowedHyperlink">
    <w:name w:val="FollowedHyperlink"/>
    <w:basedOn w:val="DefaultParagraphFont"/>
    <w:uiPriority w:val="99"/>
    <w:semiHidden/>
    <w:unhideWhenUsed/>
    <w:rsid w:val="007D2586"/>
    <w:rPr>
      <w:color w:val="954F72" w:themeColor="followedHyperlink"/>
      <w:u w:val="single"/>
    </w:rPr>
  </w:style>
  <w:style w:type="character" w:customStyle="1" w:styleId="UnresolvedMention3">
    <w:name w:val="Unresolved Mention3"/>
    <w:basedOn w:val="DefaultParagraphFont"/>
    <w:uiPriority w:val="99"/>
    <w:semiHidden/>
    <w:unhideWhenUsed/>
    <w:rsid w:val="007D2586"/>
    <w:rPr>
      <w:color w:val="808080"/>
      <w:shd w:val="clear" w:color="auto" w:fill="E6E6E6"/>
    </w:rPr>
  </w:style>
  <w:style w:type="character" w:customStyle="1" w:styleId="UnresolvedMention4">
    <w:name w:val="Unresolved Mention4"/>
    <w:basedOn w:val="DefaultParagraphFont"/>
    <w:uiPriority w:val="99"/>
    <w:semiHidden/>
    <w:unhideWhenUsed/>
    <w:rsid w:val="00792A25"/>
    <w:rPr>
      <w:color w:val="808080"/>
      <w:shd w:val="clear" w:color="auto" w:fill="E6E6E6"/>
    </w:rPr>
  </w:style>
  <w:style w:type="paragraph" w:styleId="HTMLPreformatted">
    <w:name w:val="HTML Preformatted"/>
    <w:basedOn w:val="Normal"/>
    <w:link w:val="HTMLPreformattedChar"/>
    <w:uiPriority w:val="99"/>
    <w:semiHidden/>
    <w:unhideWhenUsed/>
    <w:rsid w:val="006F2C3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2C3F"/>
    <w:rPr>
      <w:rFonts w:ascii="Consolas" w:hAnsi="Consolas"/>
      <w:sz w:val="20"/>
      <w:szCs w:val="20"/>
    </w:rPr>
  </w:style>
  <w:style w:type="character" w:styleId="UnresolvedMention">
    <w:name w:val="Unresolved Mention"/>
    <w:basedOn w:val="DefaultParagraphFont"/>
    <w:uiPriority w:val="99"/>
    <w:semiHidden/>
    <w:unhideWhenUsed/>
    <w:rsid w:val="006F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609245667">
      <w:bodyDiv w:val="1"/>
      <w:marLeft w:val="0"/>
      <w:marRight w:val="0"/>
      <w:marTop w:val="0"/>
      <w:marBottom w:val="0"/>
      <w:divBdr>
        <w:top w:val="none" w:sz="0" w:space="0" w:color="auto"/>
        <w:left w:val="none" w:sz="0" w:space="0" w:color="auto"/>
        <w:bottom w:val="none" w:sz="0" w:space="0" w:color="auto"/>
        <w:right w:val="none" w:sz="0" w:space="0" w:color="auto"/>
      </w:divBdr>
    </w:div>
    <w:div w:id="759567136">
      <w:bodyDiv w:val="1"/>
      <w:marLeft w:val="0"/>
      <w:marRight w:val="0"/>
      <w:marTop w:val="0"/>
      <w:marBottom w:val="0"/>
      <w:divBdr>
        <w:top w:val="none" w:sz="0" w:space="0" w:color="auto"/>
        <w:left w:val="none" w:sz="0" w:space="0" w:color="auto"/>
        <w:bottom w:val="none" w:sz="0" w:space="0" w:color="auto"/>
        <w:right w:val="none" w:sz="0" w:space="0" w:color="auto"/>
      </w:divBdr>
    </w:div>
    <w:div w:id="1102264679">
      <w:bodyDiv w:val="1"/>
      <w:marLeft w:val="0"/>
      <w:marRight w:val="0"/>
      <w:marTop w:val="0"/>
      <w:marBottom w:val="0"/>
      <w:divBdr>
        <w:top w:val="none" w:sz="0" w:space="0" w:color="auto"/>
        <w:left w:val="none" w:sz="0" w:space="0" w:color="auto"/>
        <w:bottom w:val="none" w:sz="0" w:space="0" w:color="auto"/>
        <w:right w:val="none" w:sz="0" w:space="0" w:color="auto"/>
      </w:divBdr>
    </w:div>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z.farnell.com/fpga-power" TargetMode="External"/><Relationship Id="rId13" Type="http://schemas.openxmlformats.org/officeDocument/2006/relationships/hyperlink" Target="http://farnell.com/" TargetMode="External"/><Relationship Id="rId18" Type="http://schemas.openxmlformats.org/officeDocument/2006/relationships/hyperlink" Target="http://sg.element14.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www.newark.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z.farnell.com/" TargetMode="External"/><Relationship Id="rId20" Type="http://schemas.openxmlformats.org/officeDocument/2006/relationships/hyperlink" Target="http://www.premierfarnel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farnell.com/fpga-pow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r.avnet.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z.farnell.com/fpga-power?COM=referral-handler&amp;CMP=xillinx-ti" TargetMode="External"/><Relationship Id="rId19" Type="http://schemas.openxmlformats.org/officeDocument/2006/relationships/hyperlink" Target="http://cpc.farnell.com/" TargetMode="External"/><Relationship Id="rId4" Type="http://schemas.openxmlformats.org/officeDocument/2006/relationships/settings" Target="settings.xml"/><Relationship Id="rId9" Type="http://schemas.openxmlformats.org/officeDocument/2006/relationships/hyperlink" Target="http://cz.farnell.com/fpga-power" TargetMode="External"/><Relationship Id="rId14" Type="http://schemas.openxmlformats.org/officeDocument/2006/relationships/hyperlink" Target="http://www.premierfarnell.com/" TargetMode="External"/><Relationship Id="rId22" Type="http://schemas.openxmlformats.org/officeDocument/2006/relationships/hyperlink" Target="mailto:hsmart@premierfarnell.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873B-4955-4486-B953-D7657B4D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2018-07-09T10:55:00Z</dcterms:created>
  <dcterms:modified xsi:type="dcterms:W3CDTF">2018-07-09T10:56:00Z</dcterms:modified>
</cp:coreProperties>
</file>