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A8" w:rsidRPr="00291AA8" w:rsidRDefault="00291AA8" w:rsidP="00291AA8">
      <w:pPr>
        <w:suppressAutoHyphens w:val="0"/>
        <w:spacing w:after="0"/>
        <w:ind w:right="-341"/>
        <w:jc w:val="center"/>
        <w:rPr>
          <w:rFonts w:ascii="Arial" w:eastAsia="Times New Roman" w:hAnsi="Arial" w:cs="Arial"/>
          <w:b/>
          <w:kern w:val="0"/>
          <w:sz w:val="26"/>
          <w:szCs w:val="26"/>
          <w:shd w:val="clear" w:color="auto" w:fill="FFFFFF"/>
          <w:lang w:val="pl-PL" w:eastAsia="en-US" w:bidi="ar-SA"/>
        </w:rPr>
      </w:pPr>
      <w:r w:rsidRPr="00790330">
        <w:rPr>
          <w:rFonts w:ascii="Arial" w:eastAsia="Times New Roman" w:hAnsi="Arial" w:cs="Arial"/>
          <w:b/>
          <w:kern w:val="0"/>
          <w:sz w:val="26"/>
          <w:szCs w:val="26"/>
          <w:lang w:val="pl-PL" w:eastAsia="en-US" w:bidi="ar-SA"/>
        </w:rPr>
        <w:t>Farnell element14</w:t>
      </w:r>
      <w:r w:rsidRPr="00291AA8">
        <w:rPr>
          <w:rFonts w:ascii="Arial" w:eastAsia="Times New Roman" w:hAnsi="Arial" w:cs="Arial"/>
          <w:b/>
          <w:kern w:val="0"/>
          <w:sz w:val="26"/>
          <w:szCs w:val="26"/>
          <w:lang w:val="pl-PL" w:eastAsia="en-US" w:bidi="ar-SA"/>
        </w:rPr>
        <w:t xml:space="preserve"> wprowadza generatory serii TGF4000 firmy Aim-TTi, cechujące się najlepszymi parametrami w swojej klasie oraz niezrównanym stosunkiem jakości do ceny</w:t>
      </w:r>
    </w:p>
    <w:p w:rsidR="00291AA8" w:rsidRPr="00291AA8" w:rsidRDefault="00291AA8" w:rsidP="00291AA8">
      <w:pPr>
        <w:suppressAutoHyphens w:val="0"/>
        <w:spacing w:after="0"/>
        <w:ind w:right="-341"/>
        <w:jc w:val="center"/>
        <w:rPr>
          <w:rFonts w:ascii="Arial" w:eastAsia="Times New Roman" w:hAnsi="Arial" w:cs="Arial"/>
          <w:i/>
          <w:kern w:val="0"/>
          <w:sz w:val="22"/>
          <w:szCs w:val="22"/>
          <w:shd w:val="clear" w:color="auto" w:fill="FFFFFF"/>
          <w:lang w:val="pl-PL" w:eastAsia="en-US" w:bidi="ar-SA"/>
        </w:rPr>
      </w:pPr>
      <w:r w:rsidRPr="00291AA8">
        <w:rPr>
          <w:rFonts w:ascii="Arial" w:eastAsia="Times New Roman" w:hAnsi="Arial" w:cs="Arial"/>
          <w:i/>
          <w:kern w:val="0"/>
          <w:sz w:val="22"/>
          <w:szCs w:val="22"/>
          <w:shd w:val="clear" w:color="auto" w:fill="FFFFFF"/>
          <w:lang w:val="pl-PL" w:eastAsia="en-US" w:bidi="ar-SA"/>
        </w:rPr>
        <w:t>Nowa seria produktów to prawdziwie dwukanałowe, programowalne generatory funkcyjne/arbitralne o bardzo wysokich parametrach, pracujące w paśmie od 40 MHz do 240 MHz</w:t>
      </w:r>
    </w:p>
    <w:p w:rsidR="00291AA8" w:rsidRPr="00291AA8" w:rsidRDefault="00291AA8" w:rsidP="00291AA8">
      <w:pPr>
        <w:shd w:val="clear" w:color="auto" w:fill="FFFFFF"/>
        <w:suppressAutoHyphens w:val="0"/>
        <w:spacing w:after="0"/>
        <w:rPr>
          <w:rFonts w:ascii="Arial" w:eastAsia="Times New Roman" w:hAnsi="Arial" w:cs="Arial"/>
          <w:b/>
          <w:kern w:val="0"/>
          <w:sz w:val="22"/>
          <w:szCs w:val="22"/>
          <w:lang w:val="pl-PL" w:eastAsia="en-US" w:bidi="ar-SA"/>
        </w:rPr>
      </w:pPr>
    </w:p>
    <w:p w:rsidR="00291AA8" w:rsidRPr="00291AA8" w:rsidRDefault="00291AA8" w:rsidP="00291AA8">
      <w:pPr>
        <w:shd w:val="clear" w:color="auto" w:fill="FFFFFF"/>
        <w:suppressAutoHyphens w:val="0"/>
        <w:spacing w:after="0"/>
        <w:rPr>
          <w:rFonts w:ascii="Arial" w:eastAsia="Times New Roman" w:hAnsi="Arial" w:cs="Arial"/>
          <w:kern w:val="0"/>
          <w:sz w:val="22"/>
          <w:szCs w:val="22"/>
          <w:lang w:val="pl-PL" w:eastAsia="en-US" w:bidi="ar-SA"/>
        </w:rPr>
      </w:pPr>
      <w:r w:rsidRPr="00790330">
        <w:rPr>
          <w:rFonts w:ascii="Arial" w:eastAsia="Times New Roman" w:hAnsi="Arial" w:cs="Arial"/>
          <w:b/>
          <w:kern w:val="0"/>
          <w:sz w:val="22"/>
          <w:szCs w:val="22"/>
          <w:lang w:val="pl-PL" w:eastAsia="en-US" w:bidi="ar-SA"/>
        </w:rPr>
        <w:t xml:space="preserve">Leeds, Wielka Brytania, 22 stycznia 2019 r.: </w:t>
      </w:r>
      <w:hyperlink r:id="rId7" w:history="1">
        <w:r w:rsidRPr="00790330">
          <w:rPr>
            <w:rFonts w:ascii="Arial" w:eastAsia="Times New Roman" w:hAnsi="Arial" w:cs="Arial"/>
            <w:color w:val="0000FF"/>
            <w:kern w:val="0"/>
            <w:sz w:val="22"/>
            <w:szCs w:val="22"/>
            <w:u w:val="single"/>
            <w:lang w:val="pl-PL" w:eastAsia="en-US" w:bidi="ar-SA"/>
          </w:rPr>
          <w:t>Farnell element14</w:t>
        </w:r>
      </w:hyperlink>
      <w:r w:rsidRPr="00291AA8">
        <w:rPr>
          <w:rFonts w:ascii="Arial" w:eastAsia="Times New Roman" w:hAnsi="Arial" w:cs="Arial"/>
          <w:kern w:val="0"/>
          <w:sz w:val="22"/>
          <w:szCs w:val="22"/>
          <w:lang w:val="pl-PL" w:eastAsia="en-US" w:bidi="ar-SA"/>
        </w:rPr>
        <w:t xml:space="preserve"> dodał generatory funkcyjne i arbitralne serii TGF4000 firmy Aim-TTi do swojej oferty produktów dostępnych z wysyłką w dniu zamówienia. Te najnowsze modele firmy Aim-TTi powstały w oparciu o 20-letnie doświadczenie w branży, spełniając przy tym oczekiwania klientów, którzy poszukują aparatury pracującej z sygnałami o coraz większych częstotliwościach i lepszej dokładności. Generatory serii TGF4000 cechują się wysoką precyzją, szerokim pasmem pracy i wiodącymi w swojej klasie parametrami, przy niezrównanym dotąd stosunku jakości do ceny. Wśród najwyższych modeli serii można znaleźć generatory TGF4162 i TGF4242, które pracują z poszerzonym zakresem częstotliwości i poziomem sygnałów, spotykanymi dotąd jedynie w produktach o znacznie wyższych cenach.</w:t>
      </w:r>
    </w:p>
    <w:p w:rsidR="00291AA8" w:rsidRPr="00291AA8" w:rsidRDefault="00291AA8" w:rsidP="00291AA8">
      <w:pPr>
        <w:shd w:val="clear" w:color="auto" w:fill="FFFFFF"/>
        <w:suppressAutoHyphens w:val="0"/>
        <w:spacing w:after="0"/>
        <w:rPr>
          <w:rFonts w:ascii="Arial" w:eastAsia="Times New Roman" w:hAnsi="Arial" w:cs="Arial"/>
          <w:kern w:val="0"/>
          <w:sz w:val="22"/>
          <w:szCs w:val="22"/>
          <w:lang w:val="pl-PL" w:eastAsia="en-US" w:bidi="ar-SA"/>
        </w:rPr>
      </w:pPr>
    </w:p>
    <w:p w:rsidR="00291AA8" w:rsidRPr="00291AA8" w:rsidRDefault="00291AA8" w:rsidP="00291AA8">
      <w:pPr>
        <w:shd w:val="clear" w:color="auto" w:fill="FFFFFF"/>
        <w:suppressAutoHyphens w:val="0"/>
        <w:spacing w:after="0"/>
        <w:rPr>
          <w:rFonts w:ascii="Arial" w:eastAsia="Times New Roman" w:hAnsi="Arial" w:cs="Arial"/>
          <w:kern w:val="0"/>
          <w:sz w:val="22"/>
          <w:szCs w:val="22"/>
          <w:lang w:val="pl-PL" w:eastAsia="en-US" w:bidi="ar-SA"/>
        </w:rPr>
      </w:pPr>
      <w:r w:rsidRPr="00291AA8">
        <w:rPr>
          <w:rFonts w:ascii="Arial" w:eastAsia="Times New Roman" w:hAnsi="Arial" w:cs="Arial"/>
          <w:kern w:val="0"/>
          <w:sz w:val="22"/>
          <w:szCs w:val="22"/>
          <w:lang w:val="pl-PL" w:eastAsia="en-US" w:bidi="ar-SA"/>
        </w:rPr>
        <w:t>Seria TGF4000 cechuje się wieloma ważnymi zaletami, w porównaniu do innych modeli z podobnego zakresu cenowego, gdyż obejmuje urządzenia prawdziwie dwukanałowe. Aparatura z serii TGF4000 to przyrządy wyposażone w dwa pełnoprawne kanały, które mogą pracować całkowicie niezależnie, tak jakby były dwoma oddzielnymi generatorami. Alternatywnie, można je skonfigurować do pracy w trybie sprzężonym lub śledzącym, z precyzyjną synchronizacją fazy pomiędzy kanałami, ustalaną przez użytkownika z dokładnością do 0,0010.</w:t>
      </w:r>
    </w:p>
    <w:p w:rsidR="00291AA8" w:rsidRPr="00291AA8" w:rsidRDefault="00291AA8" w:rsidP="00291AA8">
      <w:pPr>
        <w:suppressAutoHyphens w:val="0"/>
        <w:spacing w:before="100" w:beforeAutospacing="1" w:after="100" w:afterAutospacing="1"/>
        <w:rPr>
          <w:rFonts w:ascii="Arial" w:eastAsia="Times New Roman" w:hAnsi="Arial" w:cs="Arial"/>
          <w:kern w:val="0"/>
          <w:sz w:val="22"/>
          <w:szCs w:val="22"/>
          <w:shd w:val="clear" w:color="auto" w:fill="FFFFFF"/>
          <w:lang w:val="pl-PL" w:eastAsia="en-GB" w:bidi="ar-SA"/>
        </w:rPr>
      </w:pPr>
      <w:r w:rsidRPr="00291AA8">
        <w:rPr>
          <w:rFonts w:ascii="Arial" w:eastAsia="Times New Roman" w:hAnsi="Arial" w:cs="Arial"/>
          <w:kern w:val="0"/>
          <w:sz w:val="22"/>
          <w:szCs w:val="22"/>
          <w:shd w:val="clear" w:color="auto" w:fill="FFFFFF"/>
          <w:lang w:val="pl-PL" w:eastAsia="en-GB" w:bidi="ar-SA"/>
        </w:rPr>
        <w:t>Seria TGF4000 wygrywa z innymi generatorami w tym samym zakresie cenowym dzięki dostępności modeli pozwalających na pracę z sygnałami o częstotliwości do 240 MHz, przy niskich zniekształceniach harmonicznych i małych szumach fazy. Oprócz dużego wyboru typów modulacji, sterowanej zarówno sygnałami wewnętrznymi, jak i z zewnętrznych źródeł, aparatura serii TGF ma także wbudowane, szerokopasmowe generatory szumu, które przydają się klientom mierzącym się z oceną sprawności działania badanego urządzenia przy określonych poziomach szumu w sygnale. Warto dodać, że całkowite zniekształcenia harmoniczne generatora dla sygnałów z pasma audio są mniejsze niż w podobnej aparaturze i wynoszą 0,05%. Natomiast jitter dla impulsów jest zdecydowanie niższy niż w jakimkolwiek porównywalnym generatorze i wynosi jedynie 30 ps.</w:t>
      </w:r>
    </w:p>
    <w:p w:rsidR="00291AA8" w:rsidRPr="00291AA8" w:rsidRDefault="00291AA8" w:rsidP="00291AA8">
      <w:pPr>
        <w:suppressAutoHyphens w:val="0"/>
        <w:spacing w:before="100" w:beforeAutospacing="1" w:after="100" w:afterAutospacing="1"/>
        <w:rPr>
          <w:rFonts w:ascii="Arial" w:eastAsia="Times New Roman" w:hAnsi="Arial" w:cs="Arial"/>
          <w:kern w:val="0"/>
          <w:sz w:val="22"/>
          <w:szCs w:val="22"/>
          <w:shd w:val="clear" w:color="auto" w:fill="FFFFFF"/>
          <w:lang w:val="pl-PL" w:eastAsia="en-GB" w:bidi="ar-SA"/>
        </w:rPr>
      </w:pPr>
      <w:r w:rsidRPr="00291AA8">
        <w:rPr>
          <w:rFonts w:ascii="Arial" w:eastAsia="Times New Roman" w:hAnsi="Arial" w:cs="Arial"/>
          <w:kern w:val="0"/>
          <w:sz w:val="22"/>
          <w:szCs w:val="22"/>
          <w:shd w:val="clear" w:color="auto" w:fill="FFFFFF"/>
          <w:lang w:val="pl-PL" w:eastAsia="en-GB" w:bidi="ar-SA"/>
        </w:rPr>
        <w:t>Do kluczowych cech opisywanej aparatury należą:</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Times New Roman" w:hAnsi="Arial" w:cs="Arial"/>
          <w:kern w:val="0"/>
          <w:sz w:val="22"/>
          <w:szCs w:val="22"/>
          <w:lang w:val="pl-PL" w:eastAsia="en-US" w:bidi="ar-SA"/>
        </w:rPr>
        <w:t>Możliwość generowania fal sinusoidalnych w zakresie od 0,001 mHz do 240 MHz dla modelu TGF4242, do 160 MHz dla modelu TGF4162, do 80 MHz dla modelu TGF4082 i do 40 MHz w przypadku modelu TGF4042.</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Wysoka czystość generowanych fal sinusoidalnych z niskim szumem fazy i jitterem oraz wartość współczynnika TDH w paśmie audio na poziomie 0,05%.</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lastRenderedPageBreak/>
        <w:t>Możliwość generowania sygnałów arbitralnych z 14-bitową rozdzielczością przy próbkowaniu 400 MSa/s (modele TGF4042 i TGF4082) lub z 16-bitową rozdzielczością przy próbkowaniu 800 MSa/s (modele TGF4162 i TGF4242).</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Bogaty zbiór dostępnych modulacji wewnętrznych lub zewnętrznych, a w nim modulacja sumująca.*</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Generacja do 16 harmonicznych.*</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Dwa identyczne kanały, pracujące zupełnie niezależnie lub wspólnie, np. w trybie sprzężenia lub śledzenia.</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Generacja impulsów o częstotliwości od 1 mHz do 100 MHz z rozdzielczością 100 ps, jitterem poniżej 30 ps oraz niezależnie ustalanymi czasami narastania i opadania sygnału.</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Możliwość generowania pseudolosowych, 8-bitowych sekwencji binarnych.*</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125-megahercowy licznik/timer z pięcioma trybami pomiarowymi.</w:t>
      </w:r>
    </w:p>
    <w:p w:rsidR="00291AA8" w:rsidRPr="00291AA8" w:rsidRDefault="00291AA8" w:rsidP="00291AA8">
      <w:pPr>
        <w:numPr>
          <w:ilvl w:val="0"/>
          <w:numId w:val="1"/>
        </w:numPr>
        <w:suppressAutoHyphens w:val="0"/>
        <w:spacing w:beforeLines="20" w:before="48" w:afterLines="20" w:after="48"/>
        <w:ind w:right="44"/>
        <w:contextualSpacing/>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Możliwość generowania szumu szerokopasmowego w paśmie do 100 MHz.</w:t>
      </w:r>
    </w:p>
    <w:p w:rsidR="00291AA8" w:rsidRPr="00291AA8" w:rsidRDefault="00291AA8" w:rsidP="00291AA8">
      <w:pPr>
        <w:suppressAutoHyphens w:val="0"/>
        <w:spacing w:beforeLines="20" w:before="48" w:afterLines="20" w:after="48"/>
        <w:ind w:right="44"/>
        <w:rPr>
          <w:rFonts w:ascii="Arial" w:eastAsia="Calibri" w:hAnsi="Arial" w:cs="Arial"/>
          <w:kern w:val="0"/>
          <w:sz w:val="22"/>
          <w:szCs w:val="22"/>
          <w:highlight w:val="yellow"/>
          <w:lang w:val="pl-PL" w:eastAsia="en-US" w:bidi="ar-SA"/>
        </w:rPr>
      </w:pPr>
    </w:p>
    <w:p w:rsidR="00291AA8" w:rsidRPr="00291AA8" w:rsidRDefault="00291AA8" w:rsidP="00291AA8">
      <w:pPr>
        <w:suppressAutoHyphens w:val="0"/>
        <w:spacing w:beforeLines="20" w:before="48" w:afterLines="20" w:after="48"/>
        <w:ind w:right="44"/>
        <w:rPr>
          <w:rFonts w:ascii="Arial" w:eastAsia="Calibri" w:hAnsi="Arial" w:cs="Arial"/>
          <w:kern w:val="0"/>
          <w:sz w:val="22"/>
          <w:szCs w:val="22"/>
          <w:lang w:val="pl-PL" w:eastAsia="en-US" w:bidi="ar-SA"/>
        </w:rPr>
      </w:pPr>
      <w:r w:rsidRPr="00291AA8">
        <w:rPr>
          <w:rFonts w:ascii="Arial" w:eastAsia="Calibri" w:hAnsi="Arial" w:cs="Arial"/>
          <w:kern w:val="0"/>
          <w:sz w:val="22"/>
          <w:szCs w:val="22"/>
          <w:lang w:val="pl-PL" w:eastAsia="en-US" w:bidi="ar-SA"/>
        </w:rPr>
        <w:t>Oprócz powyższych cech, generatory serii TGF4000 są wyposażone w 4,3-calowy, kolorowy wyświetlacz o wysokiej rozdzielczości, zwiększający wygodę i precyzję odczytów podczas przeprowadzania złożonych testów. Wykresy dla obu kanałów mogą być prezentowane obok siebie, celem łatwego ich porównywania, lub wraz ze szczegółowym opisem wybranych ustawień, gdzie każdy kanał wyświetlany jest w odmiennym, określonym kolorze. Pozwala to błyskawicznie rozpoznawać, który sygnał ulega zmianom, podczas wprowadzania nowych nastaw czy preferencji.</w:t>
      </w:r>
    </w:p>
    <w:p w:rsidR="00291AA8" w:rsidRPr="00291AA8" w:rsidRDefault="00291AA8" w:rsidP="00291AA8">
      <w:pPr>
        <w:shd w:val="clear" w:color="auto" w:fill="FFFFFF"/>
        <w:suppressAutoHyphens w:val="0"/>
        <w:spacing w:after="0"/>
        <w:rPr>
          <w:rFonts w:ascii="Arial" w:eastAsia="Times New Roman" w:hAnsi="Arial" w:cs="Arial"/>
          <w:kern w:val="0"/>
          <w:sz w:val="22"/>
          <w:szCs w:val="22"/>
          <w:shd w:val="clear" w:color="auto" w:fill="FFFFFF"/>
          <w:lang w:val="pl-PL" w:eastAsia="en-US" w:bidi="ar-SA"/>
        </w:rPr>
      </w:pPr>
    </w:p>
    <w:p w:rsidR="00291AA8" w:rsidRPr="00291AA8" w:rsidRDefault="00291AA8" w:rsidP="00291AA8">
      <w:pPr>
        <w:shd w:val="clear" w:color="auto" w:fill="FFFFFF"/>
        <w:suppressAutoHyphens w:val="0"/>
        <w:spacing w:after="0"/>
        <w:rPr>
          <w:rFonts w:ascii="Arial" w:eastAsia="Times New Roman" w:hAnsi="Arial" w:cs="Arial"/>
          <w:kern w:val="0"/>
          <w:sz w:val="22"/>
          <w:szCs w:val="22"/>
          <w:shd w:val="clear" w:color="auto" w:fill="FFFFFF"/>
          <w:lang w:val="pl-PL" w:eastAsia="en-US" w:bidi="ar-SA"/>
        </w:rPr>
      </w:pPr>
      <w:r w:rsidRPr="00790330">
        <w:rPr>
          <w:rFonts w:ascii="Arial" w:eastAsia="Times New Roman" w:hAnsi="Arial" w:cs="Arial"/>
          <w:kern w:val="0"/>
          <w:sz w:val="22"/>
          <w:szCs w:val="22"/>
          <w:shd w:val="clear" w:color="auto" w:fill="FFFFFF"/>
          <w:lang w:val="pl-PL" w:eastAsia="en-US" w:bidi="ar-SA"/>
        </w:rPr>
        <w:t xml:space="preserve">Generatory serii TGF4000 są dostępne na stronie </w:t>
      </w:r>
      <w:hyperlink r:id="rId8" w:history="1">
        <w:r w:rsidRPr="00790330">
          <w:rPr>
            <w:rStyle w:val="Hyperlink"/>
            <w:rFonts w:ascii="Arial" w:eastAsia="Times New Roman" w:hAnsi="Arial" w:cs="Arial"/>
            <w:kern w:val="0"/>
            <w:sz w:val="22"/>
            <w:szCs w:val="22"/>
            <w:shd w:val="clear" w:color="auto" w:fill="FFFFFF"/>
            <w:lang w:val="pl-PL" w:eastAsia="en-US" w:bidi="ar-SA"/>
          </w:rPr>
          <w:t>Farnell e</w:t>
        </w:r>
        <w:bookmarkStart w:id="0" w:name="_GoBack"/>
        <w:bookmarkEnd w:id="0"/>
        <w:r w:rsidRPr="00790330">
          <w:rPr>
            <w:rStyle w:val="Hyperlink"/>
            <w:rFonts w:ascii="Arial" w:eastAsia="Times New Roman" w:hAnsi="Arial" w:cs="Arial"/>
            <w:kern w:val="0"/>
            <w:sz w:val="22"/>
            <w:szCs w:val="22"/>
            <w:shd w:val="clear" w:color="auto" w:fill="FFFFFF"/>
            <w:lang w:val="pl-PL" w:eastAsia="en-US" w:bidi="ar-SA"/>
          </w:rPr>
          <w:t>l</w:t>
        </w:r>
        <w:r w:rsidRPr="00790330">
          <w:rPr>
            <w:rStyle w:val="Hyperlink"/>
            <w:rFonts w:ascii="Arial" w:eastAsia="Times New Roman" w:hAnsi="Arial" w:cs="Arial"/>
            <w:kern w:val="0"/>
            <w:sz w:val="22"/>
            <w:szCs w:val="22"/>
            <w:shd w:val="clear" w:color="auto" w:fill="FFFFFF"/>
            <w:lang w:val="pl-PL" w:eastAsia="en-US" w:bidi="ar-SA"/>
          </w:rPr>
          <w:t>ement14</w:t>
        </w:r>
      </w:hyperlink>
      <w:r w:rsidRPr="00790330">
        <w:rPr>
          <w:rFonts w:ascii="Arial" w:eastAsia="Times New Roman" w:hAnsi="Arial" w:cs="Arial"/>
          <w:kern w:val="0"/>
          <w:sz w:val="22"/>
          <w:szCs w:val="22"/>
          <w:shd w:val="clear" w:color="auto" w:fill="FFFFFF"/>
          <w:lang w:val="pl-PL" w:eastAsia="en-US" w:bidi="ar-SA"/>
        </w:rPr>
        <w:t xml:space="preserve"> w Europie, na Bliskim Wschodzie i w Afryce, </w:t>
      </w:r>
      <w:hyperlink r:id="rId9" w:history="1">
        <w:r w:rsidRPr="00790330">
          <w:rPr>
            <w:rStyle w:val="Hyperlink"/>
            <w:rFonts w:ascii="Arial" w:eastAsia="Times New Roman" w:hAnsi="Arial" w:cs="Arial"/>
            <w:kern w:val="0"/>
            <w:sz w:val="22"/>
            <w:szCs w:val="22"/>
            <w:shd w:val="clear" w:color="auto" w:fill="FFFFFF"/>
            <w:lang w:val="pl-PL" w:eastAsia="en-US" w:bidi="ar-SA"/>
          </w:rPr>
          <w:t>Newark element14</w:t>
        </w:r>
      </w:hyperlink>
      <w:r w:rsidRPr="00790330">
        <w:rPr>
          <w:rFonts w:ascii="Arial" w:eastAsia="Times New Roman" w:hAnsi="Arial" w:cs="Arial"/>
          <w:kern w:val="0"/>
          <w:sz w:val="22"/>
          <w:szCs w:val="22"/>
          <w:shd w:val="clear" w:color="auto" w:fill="FFFFFF"/>
          <w:lang w:val="pl-PL" w:eastAsia="en-US" w:bidi="ar-SA"/>
        </w:rPr>
        <w:t xml:space="preserve"> w Ameryce Północnej i Meksyku oraz w  </w:t>
      </w:r>
      <w:hyperlink r:id="rId10" w:history="1">
        <w:r w:rsidRPr="00790330">
          <w:rPr>
            <w:rStyle w:val="Hyperlink"/>
            <w:rFonts w:ascii="Arial" w:eastAsia="Times New Roman" w:hAnsi="Arial" w:cs="Arial"/>
            <w:kern w:val="0"/>
            <w:sz w:val="22"/>
            <w:szCs w:val="22"/>
            <w:shd w:val="clear" w:color="auto" w:fill="FFFFFF"/>
            <w:lang w:val="pl-PL" w:eastAsia="en-US" w:bidi="ar-SA"/>
          </w:rPr>
          <w:t>element14</w:t>
        </w:r>
      </w:hyperlink>
      <w:r w:rsidRPr="00790330">
        <w:rPr>
          <w:rFonts w:ascii="Arial" w:eastAsia="Times New Roman" w:hAnsi="Arial" w:cs="Arial"/>
          <w:kern w:val="0"/>
          <w:sz w:val="22"/>
          <w:szCs w:val="22"/>
          <w:shd w:val="clear" w:color="auto" w:fill="FFFFFF"/>
          <w:lang w:val="pl-PL" w:eastAsia="en-US" w:bidi="ar-SA"/>
        </w:rPr>
        <w:t xml:space="preserve"> w Azji i krajach Pacyfiku</w:t>
      </w:r>
      <w:r w:rsidRPr="00291AA8">
        <w:rPr>
          <w:rFonts w:ascii="Arial" w:eastAsia="Times New Roman" w:hAnsi="Arial" w:cs="Arial"/>
          <w:kern w:val="0"/>
          <w:sz w:val="22"/>
          <w:szCs w:val="22"/>
          <w:shd w:val="clear" w:color="auto" w:fill="FFFFFF"/>
          <w:lang w:val="pl-PL" w:eastAsia="en-US" w:bidi="ar-SA"/>
        </w:rPr>
        <w:t>.</w:t>
      </w:r>
    </w:p>
    <w:p w:rsidR="00291AA8" w:rsidRPr="00291AA8" w:rsidRDefault="00291AA8" w:rsidP="00291AA8">
      <w:pPr>
        <w:suppressAutoHyphens w:val="0"/>
        <w:spacing w:beforeLines="20" w:before="48" w:afterLines="20" w:after="48"/>
        <w:ind w:right="44"/>
        <w:rPr>
          <w:rFonts w:ascii="Arial" w:eastAsia="Times New Roman" w:hAnsi="Arial" w:cs="Arial"/>
          <w:kern w:val="0"/>
          <w:sz w:val="22"/>
          <w:szCs w:val="22"/>
          <w:lang w:val="pl-PL" w:eastAsia="en-US" w:bidi="ar-SA"/>
        </w:rPr>
      </w:pPr>
    </w:p>
    <w:p w:rsidR="00291AA8" w:rsidRDefault="00291AA8" w:rsidP="00291AA8">
      <w:pPr>
        <w:pStyle w:val="ColorfulList-Accent11"/>
        <w:spacing w:after="0"/>
        <w:ind w:left="0"/>
        <w:jc w:val="center"/>
        <w:rPr>
          <w:rFonts w:ascii="Arial" w:hAnsi="Arial" w:cs="Arial"/>
          <w:b/>
          <w:color w:val="000000"/>
          <w:sz w:val="20"/>
          <w:szCs w:val="20"/>
          <w:lang w:val="pl-PL"/>
        </w:rPr>
      </w:pPr>
    </w:p>
    <w:p w:rsidR="00291AA8" w:rsidRDefault="00291AA8" w:rsidP="00291AA8">
      <w:pPr>
        <w:pStyle w:val="ColorfulList-Accent11"/>
        <w:spacing w:after="0"/>
        <w:ind w:left="0"/>
        <w:jc w:val="center"/>
        <w:rPr>
          <w:rFonts w:ascii="Arial" w:hAnsi="Arial" w:cs="Arial"/>
          <w:b/>
          <w:color w:val="000000"/>
          <w:sz w:val="20"/>
          <w:szCs w:val="20"/>
          <w:lang w:val="pl-PL"/>
        </w:rPr>
      </w:pPr>
    </w:p>
    <w:p w:rsidR="00291AA8" w:rsidRPr="00291AA8" w:rsidRDefault="00291AA8" w:rsidP="00291AA8">
      <w:pPr>
        <w:pStyle w:val="ColorfulList-Accent11"/>
        <w:spacing w:after="0"/>
        <w:ind w:left="0"/>
        <w:jc w:val="center"/>
        <w:rPr>
          <w:rFonts w:ascii="Arial" w:hAnsi="Arial" w:cs="Arial"/>
          <w:b/>
          <w:color w:val="000000"/>
          <w:lang w:val="pl-PL"/>
        </w:rPr>
      </w:pPr>
      <w:r w:rsidRPr="00291AA8">
        <w:rPr>
          <w:rFonts w:ascii="Arial" w:hAnsi="Arial" w:cs="Arial"/>
          <w:b/>
          <w:color w:val="000000"/>
          <w:lang w:val="pl-PL"/>
        </w:rPr>
        <w:t>**KONIEC**</w:t>
      </w:r>
    </w:p>
    <w:p w:rsidR="00291AA8" w:rsidRPr="00291AA8" w:rsidRDefault="00291AA8" w:rsidP="00291AA8">
      <w:pPr>
        <w:pStyle w:val="ColorfulList-Accent11"/>
        <w:spacing w:after="0"/>
        <w:ind w:left="0"/>
        <w:jc w:val="center"/>
        <w:rPr>
          <w:rFonts w:ascii="Arial" w:hAnsi="Arial" w:cs="Arial"/>
          <w:b/>
          <w:color w:val="000000"/>
          <w:lang w:val="pl-PL"/>
        </w:rPr>
      </w:pPr>
    </w:p>
    <w:p w:rsidR="00291AA8" w:rsidRPr="00291AA8" w:rsidRDefault="00291AA8" w:rsidP="00291AA8">
      <w:pPr>
        <w:pStyle w:val="ColorfulList-Accent11"/>
        <w:spacing w:after="0"/>
        <w:ind w:left="0"/>
        <w:jc w:val="center"/>
        <w:rPr>
          <w:rFonts w:ascii="Arial" w:hAnsi="Arial" w:cs="Arial"/>
          <w:b/>
          <w:color w:val="000000"/>
          <w:lang w:val="pl-PL"/>
        </w:rPr>
      </w:pPr>
    </w:p>
    <w:p w:rsidR="00291AA8" w:rsidRPr="00291AA8" w:rsidRDefault="00291AA8" w:rsidP="00291AA8">
      <w:pPr>
        <w:pStyle w:val="ColorfulList-Accent11"/>
        <w:spacing w:after="0"/>
        <w:ind w:left="0"/>
        <w:jc w:val="center"/>
        <w:rPr>
          <w:rFonts w:ascii="Arial" w:hAnsi="Arial" w:cs="Arial"/>
          <w:b/>
          <w:color w:val="000000"/>
          <w:lang w:val="pl-PL"/>
        </w:rPr>
      </w:pPr>
    </w:p>
    <w:p w:rsidR="00291AA8" w:rsidRPr="00291AA8" w:rsidRDefault="00291AA8" w:rsidP="00291AA8">
      <w:pPr>
        <w:spacing w:after="0"/>
        <w:rPr>
          <w:rFonts w:ascii="Arial" w:hAnsi="Arial" w:cs="Arial"/>
          <w:b/>
          <w:sz w:val="22"/>
          <w:szCs w:val="22"/>
          <w:u w:val="single"/>
          <w:lang w:val="pl-PL"/>
        </w:rPr>
      </w:pPr>
      <w:r w:rsidRPr="00291AA8">
        <w:rPr>
          <w:rFonts w:ascii="Arial" w:hAnsi="Arial" w:cs="Arial"/>
          <w:b/>
          <w:sz w:val="22"/>
          <w:szCs w:val="22"/>
          <w:u w:val="single"/>
          <w:lang w:val="pl-PL"/>
        </w:rPr>
        <w:t>Informacje dla redakcji</w:t>
      </w:r>
    </w:p>
    <w:p w:rsidR="00291AA8" w:rsidRPr="00291AA8" w:rsidRDefault="00291AA8" w:rsidP="00291AA8">
      <w:pPr>
        <w:spacing w:after="0"/>
        <w:rPr>
          <w:rFonts w:ascii="Arial" w:hAnsi="Arial" w:cs="Arial"/>
          <w:b/>
          <w:sz w:val="22"/>
          <w:szCs w:val="22"/>
          <w:u w:val="single"/>
          <w:lang w:val="pl-PL"/>
        </w:rPr>
      </w:pPr>
    </w:p>
    <w:p w:rsidR="00291AA8" w:rsidRPr="00291AA8" w:rsidRDefault="00291AA8" w:rsidP="00291AA8">
      <w:pPr>
        <w:suppressAutoHyphens w:val="0"/>
        <w:spacing w:beforeLines="20" w:before="48" w:afterLines="20" w:after="48"/>
        <w:ind w:right="44"/>
        <w:rPr>
          <w:rFonts w:ascii="Arial" w:eastAsia="Times New Roman" w:hAnsi="Arial" w:cs="Times New Roman"/>
          <w:kern w:val="0"/>
          <w:sz w:val="22"/>
          <w:szCs w:val="22"/>
          <w:lang w:val="pl-PL" w:eastAsia="en-US" w:bidi="ar-SA"/>
        </w:rPr>
      </w:pPr>
      <w:r w:rsidRPr="00291AA8">
        <w:rPr>
          <w:rFonts w:ascii="Arial" w:eastAsia="Times New Roman" w:hAnsi="Arial" w:cs="Times New Roman"/>
          <w:kern w:val="0"/>
          <w:sz w:val="22"/>
          <w:szCs w:val="22"/>
          <w:lang w:val="pl-PL" w:eastAsia="en-US" w:bidi="ar-SA"/>
        </w:rPr>
        <w:t>Cechy oznaczone gwiazdką (*) są dostępne jedynie w modelach TGF4162 i TGF4242.</w:t>
      </w:r>
    </w:p>
    <w:p w:rsidR="00291AA8" w:rsidRPr="00291AA8" w:rsidRDefault="00291AA8" w:rsidP="00291AA8">
      <w:pPr>
        <w:suppressAutoHyphens w:val="0"/>
        <w:spacing w:beforeLines="20" w:before="48" w:afterLines="20" w:after="48"/>
        <w:ind w:right="44"/>
        <w:rPr>
          <w:rFonts w:ascii="Arial" w:eastAsia="Times New Roman" w:hAnsi="Arial" w:cs="Times New Roman"/>
          <w:kern w:val="0"/>
          <w:sz w:val="22"/>
          <w:szCs w:val="22"/>
          <w:lang w:val="pl-PL" w:eastAsia="en-US" w:bidi="ar-SA"/>
        </w:rPr>
      </w:pPr>
      <w:r w:rsidRPr="00291AA8">
        <w:rPr>
          <w:rFonts w:ascii="Arial" w:eastAsia="Times New Roman" w:hAnsi="Arial" w:cs="Times New Roman"/>
          <w:kern w:val="0"/>
          <w:sz w:val="22"/>
          <w:szCs w:val="22"/>
          <w:lang w:val="pl-PL" w:eastAsia="en-US" w:bidi="ar-SA"/>
        </w:rPr>
        <w:t>Pełne specyfikacje produktów są dostępne na stronie internetowej, w dziale aktualności.</w:t>
      </w:r>
    </w:p>
    <w:p w:rsidR="00291AA8" w:rsidRPr="00291AA8" w:rsidRDefault="00291AA8" w:rsidP="00291AA8">
      <w:pPr>
        <w:spacing w:after="0"/>
        <w:rPr>
          <w:rFonts w:ascii="Arial" w:hAnsi="Arial" w:cs="Arial"/>
          <w:sz w:val="22"/>
          <w:szCs w:val="22"/>
          <w:lang w:val="pl-PL"/>
        </w:rPr>
      </w:pPr>
    </w:p>
    <w:p w:rsidR="00291AA8" w:rsidRPr="00291AA8" w:rsidRDefault="00291AA8" w:rsidP="00291AA8">
      <w:pPr>
        <w:spacing w:after="0"/>
        <w:rPr>
          <w:rFonts w:ascii="Arial" w:hAnsi="Arial" w:cs="Arial"/>
          <w:color w:val="0563C1"/>
          <w:sz w:val="22"/>
          <w:szCs w:val="22"/>
          <w:lang w:val="pl-PL"/>
        </w:rPr>
      </w:pPr>
      <w:r w:rsidRPr="00291AA8">
        <w:rPr>
          <w:rFonts w:ascii="Arial" w:hAnsi="Arial" w:cs="Arial"/>
          <w:sz w:val="22"/>
          <w:szCs w:val="22"/>
          <w:lang w:val="pl-PL"/>
        </w:rPr>
        <w:t xml:space="preserve">Więcej szczegółowych informacji na powyższy temat oraz dodatkowe zdjęcia  związane z niniejszą notką prasową można znaleźć w naszym dziale aktualności: </w:t>
      </w:r>
      <w:hyperlink r:id="rId11" w:history="1">
        <w:r w:rsidRPr="00291AA8">
          <w:rPr>
            <w:rStyle w:val="Hyperlink"/>
            <w:rFonts w:ascii="Arial" w:hAnsi="Arial" w:cs="Arial"/>
            <w:color w:val="0563C1"/>
            <w:sz w:val="22"/>
            <w:szCs w:val="22"/>
            <w:lang w:val="pl-PL"/>
          </w:rPr>
          <w:t>www.element14.com/news</w:t>
        </w:r>
      </w:hyperlink>
    </w:p>
    <w:p w:rsidR="00291AA8" w:rsidRPr="00291AA8" w:rsidRDefault="00291AA8" w:rsidP="00291AA8">
      <w:pPr>
        <w:spacing w:after="0"/>
        <w:rPr>
          <w:rFonts w:ascii="Arial" w:hAnsi="Arial" w:cs="Arial"/>
          <w:b/>
          <w:bCs/>
          <w:sz w:val="22"/>
          <w:szCs w:val="22"/>
          <w:u w:val="single"/>
          <w:lang w:val="pl-PL"/>
        </w:rPr>
      </w:pPr>
    </w:p>
    <w:p w:rsidR="00291AA8" w:rsidRPr="00291AA8" w:rsidRDefault="00291AA8" w:rsidP="00291AA8">
      <w:pPr>
        <w:spacing w:after="0"/>
        <w:rPr>
          <w:rFonts w:ascii="Arial" w:hAnsi="Arial" w:cs="Arial"/>
          <w:b/>
          <w:bCs/>
          <w:sz w:val="22"/>
          <w:szCs w:val="22"/>
          <w:lang w:val="pl-PL"/>
        </w:rPr>
      </w:pPr>
      <w:r w:rsidRPr="00291AA8">
        <w:rPr>
          <w:rFonts w:ascii="Arial" w:hAnsi="Arial" w:cs="Arial"/>
          <w:b/>
          <w:bCs/>
          <w:sz w:val="22"/>
          <w:szCs w:val="22"/>
          <w:lang w:val="pl-PL"/>
        </w:rPr>
        <w:lastRenderedPageBreak/>
        <w:t>O nas</w:t>
      </w:r>
    </w:p>
    <w:p w:rsidR="00291AA8" w:rsidRPr="00291AA8" w:rsidRDefault="00291AA8" w:rsidP="00291AA8">
      <w:pPr>
        <w:spacing w:after="0"/>
        <w:rPr>
          <w:rFonts w:ascii="Arial" w:hAnsi="Arial" w:cs="Arial"/>
          <w:b/>
          <w:bCs/>
          <w:sz w:val="22"/>
          <w:szCs w:val="22"/>
          <w:lang w:val="pl-PL"/>
        </w:rPr>
      </w:pPr>
    </w:p>
    <w:p w:rsidR="00291AA8" w:rsidRPr="00291AA8" w:rsidRDefault="00BC6936" w:rsidP="00291AA8">
      <w:pPr>
        <w:spacing w:after="0"/>
        <w:rPr>
          <w:rFonts w:ascii="Arial" w:hAnsi="Arial" w:cs="Arial"/>
          <w:sz w:val="22"/>
          <w:szCs w:val="22"/>
          <w:lang w:val="pl-PL"/>
        </w:rPr>
      </w:pPr>
      <w:hyperlink r:id="rId12" w:history="1">
        <w:r w:rsidR="00291AA8" w:rsidRPr="00291AA8">
          <w:rPr>
            <w:rStyle w:val="Hyperlink"/>
            <w:rFonts w:ascii="Arial" w:hAnsi="Arial" w:cs="Arial"/>
            <w:color w:val="0563C1"/>
            <w:sz w:val="22"/>
            <w:szCs w:val="22"/>
            <w:lang w:val="pl-PL"/>
          </w:rPr>
          <w:t>Farnell element14</w:t>
        </w:r>
      </w:hyperlink>
      <w:r w:rsidR="00291AA8" w:rsidRPr="00291AA8">
        <w:rPr>
          <w:rFonts w:ascii="Arial" w:hAnsi="Arial" w:cs="Arial"/>
          <w:sz w:val="22"/>
          <w:szCs w:val="22"/>
          <w:lang w:val="pl-PL"/>
        </w:rPr>
        <w:t xml:space="preserve"> to część grupy </w:t>
      </w:r>
      <w:hyperlink r:id="rId13" w:history="1">
        <w:r w:rsidR="00291AA8" w:rsidRPr="00291AA8">
          <w:rPr>
            <w:rStyle w:val="Hyperlink"/>
            <w:rFonts w:ascii="Arial" w:hAnsi="Arial" w:cs="Arial"/>
            <w:color w:val="0563C1"/>
            <w:sz w:val="22"/>
            <w:szCs w:val="22"/>
            <w:lang w:val="pl-PL"/>
          </w:rPr>
          <w:t>Premier Farnell</w:t>
        </w:r>
      </w:hyperlink>
      <w:r w:rsidR="00291AA8" w:rsidRPr="00291AA8">
        <w:rPr>
          <w:rFonts w:ascii="Arial" w:hAnsi="Arial" w:cs="Arial"/>
          <w:sz w:val="22"/>
          <w:szCs w:val="22"/>
          <w:lang w:val="pl-PL"/>
        </w:rPr>
        <w:t>,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dystrybutorem wspierającym projektantów, który współpracuje z wiodącymi markami i start-upami, by rozwijać nowe produkty i wspierać przemysł w szkoleniu obecnych i przyszłych pokoleń inżynierów.</w:t>
      </w:r>
    </w:p>
    <w:p w:rsidR="00291AA8" w:rsidRPr="00291AA8" w:rsidRDefault="00291AA8" w:rsidP="00291AA8">
      <w:pPr>
        <w:spacing w:after="0"/>
        <w:rPr>
          <w:rFonts w:ascii="Arial" w:hAnsi="Arial" w:cs="Arial"/>
          <w:sz w:val="22"/>
          <w:szCs w:val="22"/>
          <w:lang w:val="pl-PL"/>
        </w:rPr>
      </w:pPr>
    </w:p>
    <w:p w:rsidR="00291AA8" w:rsidRPr="00291AA8" w:rsidRDefault="00291AA8" w:rsidP="00291AA8">
      <w:pPr>
        <w:pStyle w:val="HTMLPreformatted"/>
        <w:shd w:val="clear" w:color="auto" w:fill="FFFFFF"/>
        <w:spacing w:line="276" w:lineRule="auto"/>
        <w:rPr>
          <w:rFonts w:ascii="Arial" w:eastAsia="Times New Roman" w:hAnsi="Arial" w:cs="Arial"/>
          <w:kern w:val="0"/>
          <w:sz w:val="22"/>
          <w:szCs w:val="22"/>
          <w:lang w:val="pl-PL" w:eastAsia="en-GB" w:bidi="ar-SA"/>
        </w:rPr>
      </w:pPr>
      <w:r w:rsidRPr="00291AA8">
        <w:rPr>
          <w:rFonts w:ascii="Arial" w:eastAsia="Times New Roman" w:hAnsi="Arial" w:cs="Arial"/>
          <w:color w:val="212121"/>
          <w:kern w:val="0"/>
          <w:sz w:val="22"/>
          <w:szCs w:val="22"/>
          <w:lang w:val="pl-PL" w:eastAsia="en-GB" w:bidi="ar-SA"/>
        </w:rPr>
        <w:t xml:space="preserve">Premier Farnell jest jednostką biznesową Avnet (Nasdaq: </w:t>
      </w:r>
      <w:hyperlink r:id="rId14" w:history="1">
        <w:r w:rsidRPr="00291AA8">
          <w:rPr>
            <w:rStyle w:val="Hyperlink"/>
            <w:rFonts w:ascii="Arial" w:eastAsia="Times New Roman" w:hAnsi="Arial" w:cs="Arial"/>
            <w:color w:val="0563C1"/>
            <w:kern w:val="0"/>
            <w:sz w:val="22"/>
            <w:szCs w:val="22"/>
            <w:lang w:val="pl-PL" w:eastAsia="en-GB" w:bidi="ar-SA"/>
          </w:rPr>
          <w:t>AVT</w:t>
        </w:r>
      </w:hyperlink>
      <w:r w:rsidRPr="00291AA8">
        <w:rPr>
          <w:rFonts w:ascii="Arial" w:eastAsia="Times New Roman" w:hAnsi="Arial" w:cs="Arial"/>
          <w:color w:val="212121"/>
          <w:kern w:val="0"/>
          <w:sz w:val="22"/>
          <w:szCs w:val="22"/>
          <w:lang w:val="pl-PL" w:eastAsia="en-GB" w:bidi="ar-SA"/>
        </w:rPr>
        <w:t xml:space="preserve">). </w:t>
      </w:r>
      <w:r w:rsidRPr="00291AA8">
        <w:rPr>
          <w:rFonts w:ascii="Arial" w:hAnsi="Arial" w:cs="Arial"/>
          <w:sz w:val="22"/>
          <w:szCs w:val="22"/>
          <w:shd w:val="clear" w:color="auto" w:fill="FFFFFF"/>
          <w:lang w:val="pl-PL"/>
        </w:rPr>
        <w:t xml:space="preserve">odpowiadającej za komponenty. Premier Farnell operuje pod markami </w:t>
      </w:r>
      <w:hyperlink r:id="rId15" w:history="1">
        <w:r w:rsidRPr="00291AA8">
          <w:rPr>
            <w:rStyle w:val="Hyperlink"/>
            <w:rFonts w:ascii="Arial" w:hAnsi="Arial" w:cs="Arial"/>
            <w:color w:val="0563C1"/>
            <w:sz w:val="22"/>
            <w:szCs w:val="22"/>
            <w:lang w:val="pl-PL"/>
          </w:rPr>
          <w:t>Farnell element14</w:t>
        </w:r>
      </w:hyperlink>
      <w:r w:rsidRPr="00291AA8">
        <w:rPr>
          <w:rFonts w:ascii="Arial" w:hAnsi="Arial" w:cs="Arial"/>
          <w:sz w:val="22"/>
          <w:szCs w:val="22"/>
          <w:lang w:val="pl-PL"/>
        </w:rPr>
        <w:t> w Europie, </w:t>
      </w:r>
      <w:hyperlink r:id="rId16" w:history="1">
        <w:r w:rsidRPr="00291AA8">
          <w:rPr>
            <w:rStyle w:val="Hyperlink"/>
            <w:rFonts w:ascii="Arial" w:hAnsi="Arial" w:cs="Arial"/>
            <w:color w:val="0563C1"/>
            <w:sz w:val="22"/>
            <w:szCs w:val="22"/>
            <w:lang w:val="pl-PL"/>
          </w:rPr>
          <w:t>Newark element14</w:t>
        </w:r>
      </w:hyperlink>
      <w:r w:rsidRPr="00291AA8">
        <w:rPr>
          <w:rFonts w:ascii="Arial" w:hAnsi="Arial" w:cs="Arial"/>
          <w:color w:val="0563C1"/>
          <w:sz w:val="22"/>
          <w:szCs w:val="22"/>
          <w:lang w:val="pl-PL"/>
        </w:rPr>
        <w:t> </w:t>
      </w:r>
      <w:r w:rsidRPr="00291AA8">
        <w:rPr>
          <w:rFonts w:ascii="Arial" w:hAnsi="Arial" w:cs="Arial"/>
          <w:sz w:val="22"/>
          <w:szCs w:val="22"/>
          <w:lang w:val="pl-PL"/>
        </w:rPr>
        <w:t xml:space="preserve">w Ameryce Północnej i </w:t>
      </w:r>
      <w:hyperlink r:id="rId17" w:history="1">
        <w:r w:rsidRPr="00291AA8">
          <w:rPr>
            <w:rStyle w:val="Hyperlink"/>
            <w:rFonts w:ascii="Arial" w:hAnsi="Arial" w:cs="Arial"/>
            <w:color w:val="0563C1"/>
            <w:sz w:val="22"/>
            <w:szCs w:val="22"/>
            <w:lang w:val="pl-PL"/>
          </w:rPr>
          <w:t>element14</w:t>
        </w:r>
      </w:hyperlink>
      <w:r w:rsidRPr="00291AA8">
        <w:rPr>
          <w:rFonts w:ascii="Arial" w:hAnsi="Arial" w:cs="Arial"/>
          <w:sz w:val="22"/>
          <w:szCs w:val="22"/>
          <w:lang w:val="pl-PL"/>
        </w:rPr>
        <w:t> w krajach Azji i Pacyfiku</w:t>
      </w:r>
      <w:r w:rsidRPr="00291AA8">
        <w:rPr>
          <w:rFonts w:ascii="Arial" w:hAnsi="Arial" w:cs="Arial"/>
          <w:sz w:val="22"/>
          <w:szCs w:val="22"/>
          <w:shd w:val="clear" w:color="auto" w:fill="FFFFFF"/>
          <w:lang w:val="pl-PL"/>
        </w:rPr>
        <w:t>. Grupa Premier Farnell j</w:t>
      </w:r>
      <w:r w:rsidRPr="00291AA8">
        <w:rPr>
          <w:rFonts w:ascii="Arial" w:eastAsia="Times New Roman" w:hAnsi="Arial" w:cs="Arial"/>
          <w:kern w:val="0"/>
          <w:sz w:val="22"/>
          <w:szCs w:val="22"/>
          <w:lang w:val="pl-PL" w:eastAsia="en-GB" w:bidi="ar-SA"/>
        </w:rPr>
        <w:t xml:space="preserve">est wspierany przez globalny łańcuch dostaw ponad 3500 dostawców i ma szeroki profil zapasów opracowany w celu przewidywania i zaspokajania potrzeb innowacyjnych klientów na całym świecie. Premier Farnell sprzedaje produkty bezpośrednio konsumentom za pośrednictwem sieci dystrybutorów i działalności </w:t>
      </w:r>
      <w:hyperlink r:id="rId18" w:history="1">
        <w:r w:rsidRPr="00291AA8">
          <w:rPr>
            <w:rStyle w:val="Hyperlink"/>
            <w:rFonts w:ascii="Arial" w:eastAsia="Times New Roman" w:hAnsi="Arial" w:cs="Arial"/>
            <w:color w:val="0563C1"/>
            <w:kern w:val="0"/>
            <w:sz w:val="22"/>
            <w:szCs w:val="22"/>
            <w:lang w:val="pl-PL" w:eastAsia="en-GB" w:bidi="ar-SA"/>
          </w:rPr>
          <w:t>CPC</w:t>
        </w:r>
      </w:hyperlink>
      <w:r w:rsidRPr="00291AA8">
        <w:rPr>
          <w:rFonts w:ascii="Arial" w:eastAsia="Times New Roman" w:hAnsi="Arial" w:cs="Arial"/>
          <w:kern w:val="0"/>
          <w:sz w:val="22"/>
          <w:szCs w:val="22"/>
          <w:lang w:val="pl-PL" w:eastAsia="en-GB" w:bidi="ar-SA"/>
        </w:rPr>
        <w:t xml:space="preserve"> w Wielkiej Brytanii.</w:t>
      </w:r>
    </w:p>
    <w:p w:rsidR="00291AA8" w:rsidRPr="00291AA8" w:rsidRDefault="00291AA8" w:rsidP="00291AA8">
      <w:pPr>
        <w:pStyle w:val="HTMLPreformatted"/>
        <w:shd w:val="clear" w:color="auto" w:fill="FFFFFF"/>
        <w:spacing w:line="276" w:lineRule="auto"/>
        <w:rPr>
          <w:rFonts w:ascii="Arial" w:eastAsia="Times New Roman" w:hAnsi="Arial" w:cs="Arial"/>
          <w:kern w:val="0"/>
          <w:sz w:val="22"/>
          <w:szCs w:val="22"/>
          <w:lang w:val="pl-PL" w:eastAsia="en-GB" w:bidi="ar-SA"/>
        </w:rPr>
      </w:pPr>
    </w:p>
    <w:p w:rsidR="00291AA8" w:rsidRPr="00291AA8" w:rsidRDefault="00291AA8" w:rsidP="00291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color w:val="0563C1"/>
          <w:sz w:val="22"/>
          <w:szCs w:val="22"/>
          <w:lang w:val="pl-PL"/>
        </w:rPr>
      </w:pPr>
      <w:r w:rsidRPr="00291AA8">
        <w:rPr>
          <w:rFonts w:ascii="Arial" w:hAnsi="Arial" w:cs="Arial"/>
          <w:sz w:val="22"/>
          <w:szCs w:val="22"/>
          <w:lang w:val="pl-PL"/>
        </w:rPr>
        <w:t xml:space="preserve">Więcej informacji można znaleźć na stronie internetowej pod adresem </w:t>
      </w:r>
      <w:hyperlink r:id="rId19" w:history="1">
        <w:r w:rsidRPr="00291AA8">
          <w:rPr>
            <w:rStyle w:val="Hyperlink"/>
            <w:rFonts w:ascii="Arial" w:hAnsi="Arial" w:cs="Arial"/>
            <w:color w:val="0563C1"/>
            <w:sz w:val="22"/>
            <w:szCs w:val="22"/>
            <w:lang w:val="pl-PL"/>
          </w:rPr>
          <w:t>http://www.premierfarnell.com</w:t>
        </w:r>
      </w:hyperlink>
    </w:p>
    <w:p w:rsidR="00291AA8" w:rsidRPr="00291AA8" w:rsidRDefault="00291AA8" w:rsidP="00291AA8">
      <w:pPr>
        <w:pStyle w:val="ColorfulList-Accent11"/>
        <w:spacing w:after="0"/>
        <w:ind w:left="0"/>
        <w:rPr>
          <w:rFonts w:ascii="Arial" w:hAnsi="Arial" w:cs="Arial"/>
          <w:b/>
          <w:bCs/>
          <w:lang w:val="pl-PL"/>
        </w:rPr>
      </w:pPr>
    </w:p>
    <w:p w:rsidR="00291AA8" w:rsidRPr="00291AA8" w:rsidRDefault="00291AA8" w:rsidP="00291AA8">
      <w:pPr>
        <w:pStyle w:val="ColorfulList-Accent11"/>
        <w:spacing w:after="0"/>
        <w:ind w:left="0"/>
        <w:rPr>
          <w:rFonts w:ascii="Arial" w:hAnsi="Arial" w:cs="Arial"/>
          <w:color w:val="000000"/>
          <w:lang w:val="pl-PL"/>
        </w:rPr>
      </w:pPr>
      <w:r w:rsidRPr="00291AA8">
        <w:rPr>
          <w:rFonts w:ascii="Arial" w:hAnsi="Arial" w:cs="Arial"/>
          <w:b/>
          <w:bCs/>
          <w:lang w:val="pl-PL"/>
        </w:rPr>
        <w:t>Obsługę prasową w Europie zapewnia:</w:t>
      </w:r>
    </w:p>
    <w:p w:rsidR="00291AA8" w:rsidRPr="00291AA8" w:rsidRDefault="00291AA8" w:rsidP="00291AA8">
      <w:pPr>
        <w:spacing w:after="0"/>
        <w:rPr>
          <w:rFonts w:ascii="Arial" w:hAnsi="Arial" w:cs="Arial"/>
          <w:b/>
          <w:bCs/>
          <w:sz w:val="22"/>
          <w:szCs w:val="22"/>
        </w:rPr>
      </w:pPr>
      <w:r w:rsidRPr="00291AA8">
        <w:rPr>
          <w:rFonts w:ascii="Arial" w:hAnsi="Arial" w:cs="Arial"/>
          <w:b/>
          <w:bCs/>
          <w:sz w:val="22"/>
          <w:szCs w:val="22"/>
        </w:rPr>
        <w:t>Chloe Willcox</w:t>
      </w:r>
    </w:p>
    <w:p w:rsidR="00291AA8" w:rsidRPr="00291AA8" w:rsidRDefault="00291AA8" w:rsidP="00291AA8">
      <w:pPr>
        <w:spacing w:after="0"/>
        <w:rPr>
          <w:rFonts w:ascii="Arial" w:hAnsi="Arial" w:cs="Arial"/>
          <w:b/>
          <w:bCs/>
          <w:sz w:val="22"/>
          <w:szCs w:val="22"/>
        </w:rPr>
      </w:pPr>
      <w:r w:rsidRPr="00291AA8">
        <w:rPr>
          <w:rFonts w:ascii="Arial" w:hAnsi="Arial" w:cs="Arial"/>
          <w:b/>
          <w:bCs/>
          <w:sz w:val="22"/>
          <w:szCs w:val="22"/>
        </w:rPr>
        <w:t>Napier Partnership</w:t>
      </w:r>
    </w:p>
    <w:p w:rsidR="00291AA8" w:rsidRPr="00291AA8" w:rsidRDefault="00291AA8" w:rsidP="00291AA8">
      <w:pPr>
        <w:spacing w:after="0"/>
        <w:rPr>
          <w:rFonts w:ascii="Arial" w:hAnsi="Arial" w:cs="Arial"/>
          <w:bCs/>
          <w:sz w:val="22"/>
          <w:szCs w:val="22"/>
        </w:rPr>
      </w:pPr>
      <w:r w:rsidRPr="00291AA8">
        <w:rPr>
          <w:rFonts w:ascii="Arial" w:hAnsi="Arial" w:cs="Arial"/>
          <w:bCs/>
          <w:sz w:val="22"/>
          <w:szCs w:val="22"/>
        </w:rPr>
        <w:t>Tel: +44 1243 531123</w:t>
      </w:r>
    </w:p>
    <w:p w:rsidR="00291AA8" w:rsidRPr="00291AA8" w:rsidRDefault="00291AA8" w:rsidP="00291AA8">
      <w:pPr>
        <w:spacing w:after="0"/>
        <w:rPr>
          <w:rFonts w:ascii="Arial" w:hAnsi="Arial" w:cs="Arial"/>
          <w:sz w:val="22"/>
          <w:szCs w:val="22"/>
          <w:lang w:val="it-IT"/>
        </w:rPr>
      </w:pPr>
      <w:r w:rsidRPr="00291AA8">
        <w:rPr>
          <w:rFonts w:ascii="Arial" w:hAnsi="Arial" w:cs="Arial"/>
          <w:bCs/>
          <w:sz w:val="22"/>
          <w:szCs w:val="22"/>
          <w:lang w:val="it-IT"/>
        </w:rPr>
        <w:t xml:space="preserve">E-mail: </w:t>
      </w:r>
      <w:hyperlink r:id="rId20" w:history="1">
        <w:r w:rsidRPr="00291AA8">
          <w:rPr>
            <w:rStyle w:val="Hyperlink"/>
            <w:rFonts w:ascii="Arial" w:hAnsi="Arial" w:cs="Arial"/>
            <w:color w:val="0563C1"/>
            <w:sz w:val="22"/>
            <w:szCs w:val="22"/>
            <w:lang w:val="it-IT"/>
          </w:rPr>
          <w:t>chloe@napierb2b.com</w:t>
        </w:r>
      </w:hyperlink>
    </w:p>
    <w:p w:rsidR="00291AA8" w:rsidRPr="00291AA8" w:rsidRDefault="00BC6936" w:rsidP="00291AA8">
      <w:pPr>
        <w:spacing w:after="0"/>
        <w:rPr>
          <w:rFonts w:ascii="Arial" w:hAnsi="Arial" w:cs="Arial"/>
          <w:b/>
          <w:bCs/>
          <w:color w:val="0563C1"/>
          <w:sz w:val="22"/>
          <w:szCs w:val="22"/>
          <w:lang w:val="it-IT"/>
        </w:rPr>
      </w:pPr>
      <w:hyperlink r:id="rId21" w:history="1">
        <w:r w:rsidR="00291AA8" w:rsidRPr="00291AA8">
          <w:rPr>
            <w:rStyle w:val="Hyperlink"/>
            <w:rFonts w:ascii="Arial" w:hAnsi="Arial" w:cs="Arial"/>
            <w:color w:val="0563C1"/>
            <w:sz w:val="22"/>
            <w:szCs w:val="22"/>
            <w:lang w:val="it-IT"/>
          </w:rPr>
          <w:t>www.napierb2b.com</w:t>
        </w:r>
      </w:hyperlink>
      <w:r w:rsidR="00291AA8" w:rsidRPr="00291AA8">
        <w:rPr>
          <w:rFonts w:ascii="Arial" w:hAnsi="Arial" w:cs="Arial"/>
          <w:b/>
          <w:bCs/>
          <w:color w:val="0563C1"/>
          <w:sz w:val="22"/>
          <w:szCs w:val="22"/>
          <w:lang w:val="it-IT"/>
        </w:rPr>
        <w:t xml:space="preserve"> </w:t>
      </w:r>
    </w:p>
    <w:p w:rsidR="00291AA8" w:rsidRPr="00291AA8" w:rsidRDefault="00291AA8" w:rsidP="00291AA8">
      <w:pPr>
        <w:spacing w:after="0"/>
        <w:rPr>
          <w:rFonts w:ascii="Arial" w:hAnsi="Arial" w:cs="Arial"/>
          <w:b/>
          <w:bCs/>
          <w:sz w:val="22"/>
          <w:szCs w:val="22"/>
          <w:lang w:val="it-IT"/>
        </w:rPr>
      </w:pPr>
    </w:p>
    <w:p w:rsidR="00291AA8" w:rsidRPr="00291AA8" w:rsidRDefault="00291AA8" w:rsidP="00291AA8">
      <w:pPr>
        <w:spacing w:after="0"/>
        <w:rPr>
          <w:rFonts w:ascii="Arial" w:hAnsi="Arial" w:cs="Arial"/>
          <w:b/>
          <w:bCs/>
          <w:sz w:val="22"/>
          <w:szCs w:val="22"/>
        </w:rPr>
      </w:pPr>
      <w:r w:rsidRPr="00291AA8">
        <w:rPr>
          <w:rFonts w:ascii="Arial" w:hAnsi="Arial" w:cs="Arial"/>
          <w:b/>
          <w:bCs/>
          <w:sz w:val="22"/>
          <w:szCs w:val="22"/>
        </w:rPr>
        <w:t>Premier Farnell:</w:t>
      </w:r>
    </w:p>
    <w:p w:rsidR="00291AA8" w:rsidRPr="00291AA8" w:rsidRDefault="00291AA8" w:rsidP="00291AA8">
      <w:pPr>
        <w:spacing w:after="0"/>
        <w:rPr>
          <w:rFonts w:ascii="Arial" w:hAnsi="Arial" w:cs="Arial"/>
          <w:b/>
          <w:bCs/>
          <w:sz w:val="22"/>
          <w:szCs w:val="22"/>
        </w:rPr>
      </w:pPr>
      <w:r w:rsidRPr="00291AA8">
        <w:rPr>
          <w:rFonts w:ascii="Arial" w:hAnsi="Arial" w:cs="Arial"/>
          <w:b/>
          <w:bCs/>
          <w:sz w:val="22"/>
          <w:szCs w:val="22"/>
        </w:rPr>
        <w:t>Holly Smart</w:t>
      </w:r>
    </w:p>
    <w:p w:rsidR="00291AA8" w:rsidRPr="00291AA8" w:rsidRDefault="00291AA8" w:rsidP="00291AA8">
      <w:pPr>
        <w:spacing w:after="0"/>
        <w:rPr>
          <w:rFonts w:ascii="Arial" w:hAnsi="Arial" w:cs="Arial"/>
          <w:b/>
          <w:bCs/>
          <w:sz w:val="22"/>
          <w:szCs w:val="22"/>
        </w:rPr>
      </w:pPr>
      <w:r w:rsidRPr="00291AA8">
        <w:rPr>
          <w:rFonts w:ascii="Arial" w:hAnsi="Arial" w:cs="Arial"/>
          <w:b/>
          <w:bCs/>
          <w:sz w:val="22"/>
          <w:szCs w:val="22"/>
        </w:rPr>
        <w:t>Head of PR and External Communications</w:t>
      </w:r>
    </w:p>
    <w:p w:rsidR="00291AA8" w:rsidRPr="00291AA8" w:rsidRDefault="00291AA8" w:rsidP="00291AA8">
      <w:pPr>
        <w:spacing w:after="0"/>
        <w:rPr>
          <w:rFonts w:ascii="Arial" w:hAnsi="Arial" w:cs="Arial"/>
          <w:bCs/>
          <w:sz w:val="22"/>
          <w:szCs w:val="22"/>
        </w:rPr>
      </w:pPr>
      <w:r w:rsidRPr="00291AA8">
        <w:rPr>
          <w:rFonts w:ascii="Arial" w:hAnsi="Arial" w:cs="Arial"/>
          <w:bCs/>
          <w:sz w:val="22"/>
          <w:szCs w:val="22"/>
        </w:rPr>
        <w:t>Tel: +44 113 2485188</w:t>
      </w:r>
    </w:p>
    <w:p w:rsidR="00291AA8" w:rsidRPr="00291AA8" w:rsidRDefault="00291AA8" w:rsidP="00291AA8">
      <w:pPr>
        <w:spacing w:after="0"/>
        <w:rPr>
          <w:rFonts w:ascii="Arial" w:hAnsi="Arial" w:cs="Arial"/>
          <w:bCs/>
          <w:sz w:val="22"/>
          <w:szCs w:val="22"/>
        </w:rPr>
      </w:pPr>
      <w:r w:rsidRPr="00291AA8">
        <w:rPr>
          <w:rFonts w:ascii="Arial" w:hAnsi="Arial" w:cs="Arial"/>
          <w:bCs/>
          <w:sz w:val="22"/>
          <w:szCs w:val="22"/>
        </w:rPr>
        <w:t>Email:</w:t>
      </w:r>
      <w:r w:rsidRPr="00291AA8">
        <w:rPr>
          <w:rFonts w:ascii="Arial" w:hAnsi="Arial" w:cs="Arial"/>
          <w:b/>
          <w:bCs/>
          <w:sz w:val="22"/>
          <w:szCs w:val="22"/>
        </w:rPr>
        <w:t> </w:t>
      </w:r>
      <w:hyperlink r:id="rId22" w:history="1">
        <w:r w:rsidRPr="00291AA8">
          <w:rPr>
            <w:rStyle w:val="Hyperlink"/>
            <w:rFonts w:ascii="Arial" w:hAnsi="Arial" w:cs="Arial"/>
            <w:color w:val="0563C1"/>
            <w:sz w:val="22"/>
            <w:szCs w:val="22"/>
          </w:rPr>
          <w:t>hsmart@premierfarnell.com</w:t>
        </w:r>
      </w:hyperlink>
      <w:r w:rsidRPr="00291AA8">
        <w:rPr>
          <w:rFonts w:ascii="Arial" w:hAnsi="Arial" w:cs="Arial"/>
          <w:bCs/>
          <w:sz w:val="22"/>
          <w:szCs w:val="22"/>
        </w:rPr>
        <w:t xml:space="preserve">  </w:t>
      </w:r>
    </w:p>
    <w:p w:rsidR="00291AA8" w:rsidRPr="00291AA8" w:rsidRDefault="00291AA8" w:rsidP="00291AA8">
      <w:pPr>
        <w:spacing w:after="0"/>
        <w:rPr>
          <w:rFonts w:ascii="Arial" w:hAnsi="Arial" w:cs="Arial"/>
          <w:color w:val="000000"/>
          <w:sz w:val="22"/>
          <w:szCs w:val="22"/>
          <w:u w:val="single"/>
          <w:lang w:val="en-GB"/>
        </w:rPr>
      </w:pPr>
    </w:p>
    <w:p w:rsidR="00291AA8" w:rsidRPr="00291AA8" w:rsidRDefault="00291AA8" w:rsidP="00291AA8">
      <w:pPr>
        <w:spacing w:after="0"/>
        <w:jc w:val="center"/>
        <w:rPr>
          <w:rFonts w:ascii="Arial" w:hAnsi="Arial" w:cs="Arial"/>
          <w:b/>
          <w:sz w:val="22"/>
          <w:szCs w:val="22"/>
        </w:rPr>
      </w:pPr>
    </w:p>
    <w:p w:rsidR="00291AA8" w:rsidRPr="00291AA8" w:rsidRDefault="00291AA8" w:rsidP="00291AA8">
      <w:pPr>
        <w:spacing w:after="0"/>
        <w:rPr>
          <w:rFonts w:ascii="Arial" w:hAnsi="Arial" w:cs="Arial"/>
          <w:b/>
          <w:sz w:val="22"/>
          <w:szCs w:val="22"/>
        </w:rPr>
      </w:pPr>
    </w:p>
    <w:p w:rsidR="0050373E" w:rsidRDefault="0050373E" w:rsidP="00291AA8"/>
    <w:sectPr w:rsidR="0050373E" w:rsidSect="00D978B8">
      <w:head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45" w:rsidRDefault="00624D22">
      <w:pPr>
        <w:spacing w:after="0" w:line="240" w:lineRule="auto"/>
      </w:pPr>
      <w:r>
        <w:separator/>
      </w:r>
    </w:p>
  </w:endnote>
  <w:endnote w:type="continuationSeparator" w:id="0">
    <w:p w:rsidR="00546B45" w:rsidRDefault="0062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45" w:rsidRDefault="00624D22">
      <w:pPr>
        <w:spacing w:after="0" w:line="240" w:lineRule="auto"/>
      </w:pPr>
      <w:r>
        <w:separator/>
      </w:r>
    </w:p>
  </w:footnote>
  <w:footnote w:type="continuationSeparator" w:id="0">
    <w:p w:rsidR="00546B45" w:rsidRDefault="0062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BC6936" w:rsidP="00960163">
    <w:pPr>
      <w:pStyle w:val="Header"/>
      <w:jc w:val="center"/>
    </w:pPr>
  </w:p>
  <w:p w:rsidR="000865A0" w:rsidRDefault="00291AA8" w:rsidP="00960163">
    <w:pPr>
      <w:pStyle w:val="Header"/>
      <w:jc w:val="center"/>
    </w:pPr>
    <w:r w:rsidRPr="004C2442">
      <w:rPr>
        <w:noProof/>
        <w:lang w:val="en-GB" w:eastAsia="en-GB" w:bidi="ar-SA"/>
      </w:rPr>
      <w:drawing>
        <wp:anchor distT="0" distB="0" distL="114300" distR="114300" simplePos="0" relativeHeight="251660288" behindDoc="1" locked="0" layoutInCell="1" allowOverlap="1" wp14:anchorId="446FC98E" wp14:editId="0F94192A">
          <wp:simplePos x="0" y="0"/>
          <wp:positionH relativeFrom="column">
            <wp:posOffset>1971675</wp:posOffset>
          </wp:positionH>
          <wp:positionV relativeFrom="paragraph">
            <wp:posOffset>3175</wp:posOffset>
          </wp:positionV>
          <wp:extent cx="3971925" cy="523875"/>
          <wp:effectExtent l="0" t="0" r="0" b="0"/>
          <wp:wrapTight wrapText="bothSides">
            <wp:wrapPolygon edited="0">
              <wp:start x="0" y="0"/>
              <wp:lineTo x="0" y="21207"/>
              <wp:lineTo x="21548" y="2120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logowhite.JPG"/>
                  <pic:cNvPicPr/>
                </pic:nvPicPr>
                <pic:blipFill rotWithShape="1">
                  <a:blip r:embed="rId1">
                    <a:extLst>
                      <a:ext uri="{28A0092B-C50C-407E-A947-70E740481C1C}">
                        <a14:useLocalDpi xmlns:a14="http://schemas.microsoft.com/office/drawing/2010/main" val="0"/>
                      </a:ext>
                    </a:extLst>
                  </a:blip>
                  <a:srcRect t="35240" b="39970"/>
                  <a:stretch/>
                </pic:blipFill>
                <pic:spPr bwMode="auto">
                  <a:xfrm>
                    <a:off x="0" y="0"/>
                    <a:ext cx="3971925" cy="523875"/>
                  </a:xfrm>
                  <a:prstGeom prst="rect">
                    <a:avLst/>
                  </a:prstGeom>
                  <a:ln>
                    <a:noFill/>
                  </a:ln>
                  <a:extLst>
                    <a:ext uri="{53640926-AAD7-44D8-BBD7-CCE9431645EC}">
                      <a14:shadowObscured xmlns:a14="http://schemas.microsoft.com/office/drawing/2010/main"/>
                    </a:ext>
                  </a:extLst>
                </pic:spPr>
              </pic:pic>
            </a:graphicData>
          </a:graphic>
        </wp:anchor>
      </w:drawing>
    </w:r>
    <w:r w:rsidRPr="003A7EBF">
      <w:rPr>
        <w:noProof/>
        <w:lang w:val="en-GB" w:eastAsia="en-GB" w:bidi="ar-SA"/>
      </w:rPr>
      <w:drawing>
        <wp:anchor distT="0" distB="0" distL="114300" distR="114300" simplePos="0" relativeHeight="251659264" behindDoc="1" locked="0" layoutInCell="1" allowOverlap="1" wp14:anchorId="3F962C29" wp14:editId="7F28FACE">
          <wp:simplePos x="0" y="0"/>
          <wp:positionH relativeFrom="column">
            <wp:posOffset>0</wp:posOffset>
          </wp:positionH>
          <wp:positionV relativeFrom="paragraph">
            <wp:posOffset>244475</wp:posOffset>
          </wp:positionV>
          <wp:extent cx="1247775" cy="282575"/>
          <wp:effectExtent l="0" t="0" r="0" b="0"/>
          <wp:wrapTight wrapText="bothSides">
            <wp:wrapPolygon edited="0">
              <wp:start x="0" y="0"/>
              <wp:lineTo x="0" y="20387"/>
              <wp:lineTo x="21435" y="20387"/>
              <wp:lineTo x="21435"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247775" cy="282575"/>
                  </a:xfrm>
                  <a:prstGeom prst="rect">
                    <a:avLst/>
                  </a:prstGeom>
                </pic:spPr>
              </pic:pic>
            </a:graphicData>
          </a:graphic>
        </wp:anchor>
      </w:drawing>
    </w:r>
    <w:r>
      <w:t xml:space="preserve">                                    </w:t>
    </w:r>
  </w:p>
  <w:p w:rsidR="000865A0" w:rsidRDefault="00BC6936" w:rsidP="00960163">
    <w:pPr>
      <w:pStyle w:val="Header"/>
      <w:jc w:val="center"/>
    </w:pPr>
  </w:p>
  <w:p w:rsidR="000865A0" w:rsidRDefault="00BC6936" w:rsidP="00960163">
    <w:pPr>
      <w:pStyle w:val="Header"/>
      <w:jc w:val="center"/>
    </w:pPr>
  </w:p>
  <w:p w:rsidR="009A2B37" w:rsidRDefault="00BC6936" w:rsidP="00960163">
    <w:pPr>
      <w:pStyle w:val="Header"/>
      <w:jc w:val="center"/>
    </w:pPr>
  </w:p>
  <w:p w:rsidR="009A2B37" w:rsidRDefault="00BC6936"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2CB"/>
    <w:multiLevelType w:val="hybridMultilevel"/>
    <w:tmpl w:val="9136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A8"/>
    <w:rsid w:val="00291AA8"/>
    <w:rsid w:val="0050373E"/>
    <w:rsid w:val="00546B45"/>
    <w:rsid w:val="00624D22"/>
    <w:rsid w:val="00790330"/>
    <w:rsid w:val="00BC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7AA82-1EA6-49A7-9CA5-E1DC9F22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A8"/>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AA8"/>
    <w:rPr>
      <w:rFonts w:cs="Times New Roman"/>
      <w:color w:val="0000FF"/>
      <w:u w:val="single"/>
    </w:rPr>
  </w:style>
  <w:style w:type="paragraph" w:styleId="Header">
    <w:name w:val="header"/>
    <w:basedOn w:val="Normal"/>
    <w:link w:val="HeaderChar"/>
    <w:rsid w:val="00291AA8"/>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291AA8"/>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291AA8"/>
    <w:pPr>
      <w:ind w:left="720"/>
    </w:pPr>
    <w:rPr>
      <w:rFonts w:cs="Calibri"/>
      <w:sz w:val="22"/>
      <w:szCs w:val="22"/>
    </w:rPr>
  </w:style>
  <w:style w:type="paragraph" w:styleId="HTMLPreformatted">
    <w:name w:val="HTML Preformatted"/>
    <w:basedOn w:val="Normal"/>
    <w:link w:val="HTMLPreformattedChar"/>
    <w:uiPriority w:val="99"/>
    <w:semiHidden/>
    <w:unhideWhenUsed/>
    <w:rsid w:val="00291AA8"/>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291AA8"/>
    <w:rPr>
      <w:rFonts w:ascii="Consolas" w:eastAsia="Arial Unicode MS" w:hAnsi="Consolas" w:cs="Mangal"/>
      <w:kern w:val="1"/>
      <w:sz w:val="20"/>
      <w:szCs w:val="18"/>
      <w:lang w:val="en-US" w:eastAsia="hi-IN" w:bidi="hi-IN"/>
    </w:rPr>
  </w:style>
  <w:style w:type="character" w:styleId="FollowedHyperlink">
    <w:name w:val="FollowedHyperlink"/>
    <w:basedOn w:val="DefaultParagraphFont"/>
    <w:uiPriority w:val="99"/>
    <w:semiHidden/>
    <w:unhideWhenUsed/>
    <w:rsid w:val="00BC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farnell.com/MarketingProductList?orderCode=2947562,2947563,2947564,2947565" TargetMode="Externa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3" Type="http://schemas.openxmlformats.org/officeDocument/2006/relationships/settings" Target="settings.xml"/><Relationship Id="rId21" Type="http://schemas.openxmlformats.org/officeDocument/2006/relationships/hyperlink" Target="http://www.napierb2b.com" TargetMode="External"/><Relationship Id="rId7" Type="http://schemas.openxmlformats.org/officeDocument/2006/relationships/hyperlink" Target="https://pl.farnell.com/" TargetMode="External"/><Relationship Id="rId12" Type="http://schemas.openxmlformats.org/officeDocument/2006/relationships/hyperlink" Target="http://pl.farnell.com"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mailto:chlo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s://sg.element14.com/MarketingProductList?orderCode=2947562,2947563,2947564,2947565" TargetMode="External"/><Relationship Id="rId19"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s://www.newark.com/MarketingProductList?orderCode=83AC7334,83AC7335,83AC7336,83AC7337" TargetMode="External"/><Relationship Id="rId14" Type="http://schemas.openxmlformats.org/officeDocument/2006/relationships/hyperlink" Target="https://ir.avnet.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4</cp:revision>
  <dcterms:created xsi:type="dcterms:W3CDTF">2019-01-17T11:12:00Z</dcterms:created>
  <dcterms:modified xsi:type="dcterms:W3CDTF">2019-01-22T07:16:00Z</dcterms:modified>
</cp:coreProperties>
</file>