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5" w:rsidRPr="00FE04C5" w:rsidRDefault="00FE04C5" w:rsidP="00FE04C5">
      <w:pPr>
        <w:widowControl w:val="0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E04C5" w:rsidRPr="00FE04C5" w:rsidRDefault="00FE04C5" w:rsidP="00FE04C5">
      <w:pPr>
        <w:spacing w:beforeLines="20" w:before="48" w:afterLines="20" w:after="48"/>
        <w:ind w:right="44"/>
        <w:jc w:val="center"/>
        <w:rPr>
          <w:rFonts w:ascii="Arial" w:hAnsi="Arial" w:cs="Arial"/>
          <w:b/>
          <w:sz w:val="26"/>
          <w:szCs w:val="26"/>
        </w:rPr>
      </w:pPr>
      <w:r w:rsidRPr="00FE04C5">
        <w:rPr>
          <w:rFonts w:ascii="Arial" w:hAnsi="Arial" w:cs="Arial"/>
          <w:b/>
          <w:bCs/>
          <w:sz w:val="26"/>
          <w:szCs w:val="26"/>
        </w:rPr>
        <w:t xml:space="preserve">Společnost Farnell nově dodává moduly Infineon </w:t>
      </w:r>
      <w:r w:rsidRPr="00FE04C5">
        <w:rPr>
          <w:rFonts w:ascii="Arial" w:hAnsi="Arial" w:cs="Arial"/>
          <w:b/>
          <w:sz w:val="26"/>
          <w:szCs w:val="26"/>
        </w:rPr>
        <w:t>EasyPIM™</w:t>
      </w:r>
      <w:r w:rsidRPr="00FE04C5">
        <w:rPr>
          <w:rFonts w:ascii="Arial" w:hAnsi="Arial" w:cs="Arial"/>
          <w:b/>
          <w:bCs/>
          <w:sz w:val="26"/>
          <w:szCs w:val="26"/>
        </w:rPr>
        <w:t xml:space="preserve"> IGBT7 s technologií TRENCHSTOP™: Ideální volba pro průmyslové pohony</w:t>
      </w:r>
    </w:p>
    <w:p w:rsidR="00FE04C5" w:rsidRPr="00FE04C5" w:rsidRDefault="00FE04C5" w:rsidP="00FE04C5">
      <w:pPr>
        <w:spacing w:beforeLines="20" w:before="48" w:afterLines="20" w:after="48"/>
        <w:ind w:right="44"/>
        <w:jc w:val="center"/>
        <w:rPr>
          <w:rFonts w:ascii="Arial" w:hAnsi="Arial" w:cs="Arial"/>
          <w:i/>
          <w:sz w:val="22"/>
          <w:szCs w:val="22"/>
        </w:rPr>
      </w:pPr>
      <w:r w:rsidRPr="00FE04C5">
        <w:rPr>
          <w:rFonts w:ascii="Arial" w:hAnsi="Arial" w:cs="Arial"/>
          <w:i/>
          <w:sz w:val="22"/>
          <w:szCs w:val="22"/>
        </w:rPr>
        <w:t>Nový modul Easy se vyznačuje nekomplikovaným designem připraveným k uvedení na trh, který pomáhá ušetřit při konstrukci průmyslových pohonů</w:t>
      </w:r>
    </w:p>
    <w:p w:rsidR="00FE04C5" w:rsidRPr="00FE04C5" w:rsidRDefault="00FE04C5" w:rsidP="00FE04C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04C5" w:rsidRPr="00FE04C5" w:rsidRDefault="00FE04C5" w:rsidP="00FE04C5">
      <w:pPr>
        <w:spacing w:after="240"/>
        <w:rPr>
          <w:rFonts w:ascii="Arial" w:eastAsia="Calibri" w:hAnsi="Arial" w:cs="Arial"/>
          <w:sz w:val="22"/>
          <w:szCs w:val="22"/>
        </w:rPr>
      </w:pPr>
      <w:r w:rsidRPr="00FE04C5">
        <w:rPr>
          <w:rFonts w:ascii="Arial" w:hAnsi="Arial" w:cs="Arial"/>
          <w:b/>
          <w:sz w:val="22"/>
          <w:szCs w:val="22"/>
        </w:rPr>
        <w:t>Leeds, Velká Británie; 21. května 2019</w:t>
      </w:r>
      <w:r w:rsidRPr="00FE04C5">
        <w:rPr>
          <w:rFonts w:ascii="Arial" w:hAnsi="Arial" w:cs="Arial"/>
          <w:sz w:val="22"/>
          <w:szCs w:val="22"/>
        </w:rPr>
        <w:t xml:space="preserve"> – společnost </w:t>
      </w:r>
      <w:hyperlink r:id="rId7" w:history="1">
        <w:r w:rsidRPr="00FE04C5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FE04C5">
        <w:rPr>
          <w:rFonts w:ascii="Arial" w:hAnsi="Arial" w:cs="Arial"/>
          <w:sz w:val="22"/>
          <w:szCs w:val="22"/>
        </w:rPr>
        <w:t>, distributor produktů pro vývoj, nově dodává 1200 V TRENCHSTOP™ IGBT7 a emitorem řízenou diodu EC7 od společnosti Infineon. Modul EasyPIM</w:t>
      </w:r>
      <w:r w:rsidRPr="00FE04C5">
        <w:rPr>
          <w:rFonts w:ascii="Arial" w:hAnsi="Arial" w:cs="Arial"/>
          <w:sz w:val="22"/>
          <w:szCs w:val="22"/>
          <w:vertAlign w:val="superscript"/>
        </w:rPr>
        <w:t>TM</w:t>
      </w:r>
      <w:r w:rsidRPr="00FE04C5">
        <w:rPr>
          <w:rFonts w:ascii="Arial" w:hAnsi="Arial" w:cs="Arial"/>
          <w:sz w:val="22"/>
          <w:szCs w:val="22"/>
        </w:rPr>
        <w:t xml:space="preserve"> IGBT7 osazený v dobře známém pouzdře Easy nabízí vyšší výkonovou hustotu, nižší náklady na systém a menší rozměry systému. 1200 V TRENCHSTOP™ IGBT7 a technologie diody EC7 vycházejí z nejnovější mikrodrážkové technologie a jsou optimalizovány pro průmyslové pohony, takže nabízejí mnohem nižší statické ztráty, aby splňovaly požadavky na napájení, měkčí spínání a lepší ovladatelnost. Navíc se vyznačují vyšší maximální dovolenou teplotou přechodu při přetížení v napájecím modulu až 175 °C, takže dokážou dosáhnout mnohem vyšší výkonové hustoty.</w:t>
      </w:r>
    </w:p>
    <w:p w:rsidR="00FE04C5" w:rsidRPr="00FE04C5" w:rsidRDefault="00FE04C5" w:rsidP="00FE04C5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FE04C5">
        <w:rPr>
          <w:rFonts w:ascii="Arial" w:hAnsi="Arial" w:cs="Arial"/>
          <w:sz w:val="22"/>
          <w:szCs w:val="22"/>
        </w:rPr>
        <w:t xml:space="preserve">1200 V TRENCHSTOP™ IGBT7 je k dispozici v řadě modulů: </w:t>
      </w:r>
      <w:hyperlink r:id="rId8" w:history="1">
        <w:r w:rsidRPr="00FE04C5">
          <w:rPr>
            <w:rFonts w:ascii="Arial" w:hAnsi="Arial" w:cs="Arial"/>
            <w:sz w:val="22"/>
            <w:szCs w:val="22"/>
          </w:rPr>
          <w:t>EasyPIM™</w:t>
        </w:r>
      </w:hyperlink>
      <w:r w:rsidRPr="00FE04C5">
        <w:rPr>
          <w:rFonts w:ascii="Arial" w:hAnsi="Arial" w:cs="Arial"/>
          <w:sz w:val="22"/>
          <w:szCs w:val="22"/>
        </w:rPr>
        <w:t> 1B 1200 V, třífázový vstupní usměrňovací PIM (Power Integrated Module) v 10A a 25A variantě, a</w:t>
      </w:r>
      <w:r w:rsidRPr="00FE04C5">
        <w:rPr>
          <w:rFonts w:ascii="Arial" w:hAnsi="Arial" w:cs="Arial"/>
          <w:b/>
          <w:sz w:val="22"/>
          <w:szCs w:val="22"/>
        </w:rPr>
        <w:t> </w:t>
      </w:r>
      <w:hyperlink r:id="rId9" w:history="1">
        <w:r w:rsidRPr="00FE04C5">
          <w:rPr>
            <w:rFonts w:ascii="Arial" w:hAnsi="Arial" w:cs="Arial"/>
            <w:sz w:val="22"/>
            <w:szCs w:val="22"/>
          </w:rPr>
          <w:t>EasyPACK™</w:t>
        </w:r>
      </w:hyperlink>
      <w:r w:rsidRPr="00FE04C5">
        <w:rPr>
          <w:rFonts w:ascii="Arial" w:hAnsi="Arial" w:cs="Arial"/>
          <w:sz w:val="22"/>
          <w:szCs w:val="22"/>
        </w:rPr>
        <w:t xml:space="preserve"> 2B 1200 V, 100 Ašesti-balení </w:t>
      </w:r>
      <w:hyperlink r:id="rId10" w:history="1">
        <w:r w:rsidRPr="00FE04C5">
          <w:rPr>
            <w:rFonts w:ascii="Arial" w:hAnsi="Arial" w:cs="Arial"/>
            <w:sz w:val="22"/>
            <w:szCs w:val="22"/>
          </w:rPr>
          <w:t>IGBT modulu</w:t>
        </w:r>
      </w:hyperlink>
      <w:r w:rsidRPr="00FE04C5">
        <w:rPr>
          <w:rFonts w:ascii="Arial" w:hAnsi="Arial" w:cs="Arial"/>
          <w:sz w:val="22"/>
          <w:szCs w:val="22"/>
        </w:rPr>
        <w:t>.  Nové moduly jsou navrženy se stejným rozložením pinů jako moduly TRENCHSTOP IGBT4, takže usnadňují práci konstruktérům. Nové moduly rovněž nabízejí větší výstupní proud ve stejném provedení nebo podobný výstupní proud v provedení menším, takže umožňují v případě potřeby konstruovat kompaktnější měniče. Všechny typy modulů jsou vybaveny spolehlivou upevňovací technologií PressFit od společnosti Infineon, která se vyznačuje nízkým ohmovým odporem a kratší dobou zpracovávání.</w:t>
      </w:r>
    </w:p>
    <w:p w:rsidR="00FE04C5" w:rsidRPr="00FE04C5" w:rsidRDefault="00FE04C5" w:rsidP="00FE04C5">
      <w:pPr>
        <w:spacing w:beforeLines="20" w:before="48" w:afterLines="20" w:after="48"/>
        <w:rPr>
          <w:rFonts w:ascii="Arial" w:eastAsia="Calibri" w:hAnsi="Arial" w:cs="Arial"/>
          <w:sz w:val="22"/>
          <w:szCs w:val="22"/>
        </w:rPr>
      </w:pPr>
      <w:r w:rsidRPr="00FE04C5">
        <w:rPr>
          <w:rFonts w:ascii="Arial" w:hAnsi="Arial" w:cs="Arial"/>
          <w:sz w:val="22"/>
          <w:szCs w:val="22"/>
        </w:rPr>
        <w:t>Klíčové výhody TRENCHSTOP™ IGBT7 jsou:</w:t>
      </w:r>
    </w:p>
    <w:p w:rsidR="00FE04C5" w:rsidRPr="00FE04C5" w:rsidRDefault="00FE04C5" w:rsidP="00FE04C5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FE04C5">
        <w:rPr>
          <w:rFonts w:ascii="Arial" w:hAnsi="Arial" w:cs="Arial"/>
        </w:rPr>
        <w:t>Nízké ztráty – nová čipová technologie vykazuje extrémně nízké ztráty a optimalizovanou nízkou hodnotu V</w:t>
      </w:r>
      <w:r w:rsidRPr="00FE04C5">
        <w:rPr>
          <w:rFonts w:ascii="Arial" w:hAnsi="Arial" w:cs="Arial"/>
          <w:vertAlign w:val="subscript"/>
        </w:rPr>
        <w:t>ce(sat)</w:t>
      </w:r>
      <w:r w:rsidRPr="00FE04C5">
        <w:rPr>
          <w:rFonts w:ascii="Arial" w:hAnsi="Arial" w:cs="Arial"/>
        </w:rPr>
        <w:t>.</w:t>
      </w:r>
    </w:p>
    <w:p w:rsidR="00FE04C5" w:rsidRPr="00FE04C5" w:rsidRDefault="00FE04C5" w:rsidP="00FE04C5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FE04C5">
        <w:rPr>
          <w:rFonts w:ascii="Arial" w:hAnsi="Arial" w:cs="Arial"/>
        </w:rPr>
        <w:t>dv/dt optimalizovaný pro 2–8 kV/µs, šitý na míru pohonům.</w:t>
      </w:r>
    </w:p>
    <w:p w:rsidR="00FE04C5" w:rsidRPr="00FE04C5" w:rsidRDefault="00FE04C5" w:rsidP="00FE04C5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FE04C5">
        <w:rPr>
          <w:rFonts w:ascii="Arial" w:hAnsi="Arial" w:cs="Arial"/>
        </w:rPr>
        <w:t>Vlastnosti při zkratu jsou vyladěny pro lepší výkon, 8 µs při 150 °C je pro pohony dostačující hodnota.</w:t>
      </w:r>
    </w:p>
    <w:p w:rsidR="00FE04C5" w:rsidRPr="00FE04C5" w:rsidRDefault="00FE04C5" w:rsidP="00FE04C5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FE04C5">
        <w:rPr>
          <w:rFonts w:ascii="Arial" w:hAnsi="Arial" w:cs="Arial"/>
        </w:rPr>
        <w:t>Buzení hradla je jednodušší a optimalizováno pro stav aplikace. K řízení postačí hradlový rezistor.</w:t>
      </w:r>
    </w:p>
    <w:p w:rsidR="00FE04C5" w:rsidRPr="00FE04C5" w:rsidRDefault="00FE04C5" w:rsidP="00FE04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Calibri" w:hAnsi="Arial" w:cs="Arial"/>
        </w:rPr>
      </w:pPr>
      <w:r w:rsidRPr="00FE04C5">
        <w:rPr>
          <w:rFonts w:ascii="Arial" w:hAnsi="Arial" w:cs="Arial"/>
        </w:rPr>
        <w:t>Nárůst T</w:t>
      </w:r>
      <w:r w:rsidRPr="00FE04C5">
        <w:rPr>
          <w:rFonts w:ascii="Arial" w:hAnsi="Arial" w:cs="Arial"/>
          <w:vertAlign w:val="subscript"/>
        </w:rPr>
        <w:t>vjop</w:t>
      </w:r>
      <w:r w:rsidRPr="00FE04C5">
        <w:rPr>
          <w:rFonts w:ascii="Arial" w:hAnsi="Arial" w:cs="Arial"/>
        </w:rPr>
        <w:t xml:space="preserve"> až na 175 °C zvyšuje výkonovou hustotu.</w:t>
      </w:r>
    </w:p>
    <w:p w:rsidR="00FE04C5" w:rsidRPr="00FE04C5" w:rsidRDefault="00FE04C5" w:rsidP="00FE04C5">
      <w:pPr>
        <w:pStyle w:val="Heading3"/>
        <w:numPr>
          <w:ilvl w:val="0"/>
          <w:numId w:val="1"/>
        </w:numPr>
        <w:shd w:val="clear" w:color="auto" w:fill="FFFFFF"/>
        <w:spacing w:before="0" w:after="24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FE04C5">
        <w:rPr>
          <w:rFonts w:ascii="Arial" w:hAnsi="Arial" w:cs="Arial"/>
          <w:b w:val="0"/>
          <w:bCs w:val="0"/>
          <w:sz w:val="22"/>
          <w:szCs w:val="22"/>
        </w:rPr>
        <w:t>Špičková hodnota V</w:t>
      </w:r>
      <w:r w:rsidRPr="00FE04C5">
        <w:rPr>
          <w:rFonts w:ascii="Arial" w:hAnsi="Arial" w:cs="Arial"/>
          <w:b w:val="0"/>
          <w:bCs w:val="0"/>
          <w:sz w:val="22"/>
          <w:szCs w:val="22"/>
          <w:vertAlign w:val="subscript"/>
        </w:rPr>
        <w:t>CE(sat)</w:t>
      </w:r>
      <w:r w:rsidRPr="00FE04C5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E04C5" w:rsidRPr="00FE04C5" w:rsidRDefault="00FE04C5" w:rsidP="00FE04C5">
      <w:pPr>
        <w:pStyle w:val="Heading3"/>
        <w:numPr>
          <w:ilvl w:val="0"/>
          <w:numId w:val="1"/>
        </w:numPr>
        <w:shd w:val="clear" w:color="auto" w:fill="FFFFFF"/>
        <w:spacing w:before="0" w:after="24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FE04C5">
        <w:rPr>
          <w:rFonts w:ascii="Arial" w:hAnsi="Arial" w:cs="Arial"/>
          <w:b w:val="0"/>
          <w:bCs w:val="0"/>
          <w:sz w:val="22"/>
          <w:szCs w:val="22"/>
        </w:rPr>
        <w:t>Provoz při přetížení až při 175 °C.</w:t>
      </w:r>
    </w:p>
    <w:p w:rsidR="00FE04C5" w:rsidRPr="00FE04C5" w:rsidRDefault="00FE04C5" w:rsidP="00FE04C5">
      <w:pPr>
        <w:pStyle w:val="Heading3"/>
        <w:numPr>
          <w:ilvl w:val="0"/>
          <w:numId w:val="1"/>
        </w:numPr>
        <w:shd w:val="clear" w:color="auto" w:fill="FFFFFF"/>
        <w:spacing w:before="0" w:after="24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FE04C5">
        <w:rPr>
          <w:rFonts w:ascii="Arial" w:hAnsi="Arial" w:cs="Arial"/>
          <w:b w:val="0"/>
          <w:bCs w:val="0"/>
          <w:sz w:val="22"/>
          <w:szCs w:val="22"/>
        </w:rPr>
        <w:t>Zlepšená ovladatelnost optimalizovaná pro pohony.</w:t>
      </w:r>
    </w:p>
    <w:p w:rsidR="00FE04C5" w:rsidRPr="00FE04C5" w:rsidRDefault="00FE04C5" w:rsidP="00FE04C5">
      <w:pPr>
        <w:pStyle w:val="Heading3"/>
        <w:numPr>
          <w:ilvl w:val="0"/>
          <w:numId w:val="1"/>
        </w:numPr>
        <w:shd w:val="clear" w:color="auto" w:fill="FFFFFF"/>
        <w:spacing w:before="0" w:after="24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FE04C5">
        <w:rPr>
          <w:rFonts w:ascii="Arial" w:hAnsi="Arial" w:cs="Arial"/>
          <w:b w:val="0"/>
          <w:bCs w:val="0"/>
          <w:sz w:val="22"/>
          <w:szCs w:val="22"/>
        </w:rPr>
        <w:t>Vyšší výkonová hustota – stejný výkon v pouzdře, které je o 35 % menší.</w:t>
      </w:r>
    </w:p>
    <w:p w:rsidR="00FE04C5" w:rsidRPr="00FE04C5" w:rsidRDefault="00FE04C5" w:rsidP="00FE04C5">
      <w:pPr>
        <w:shd w:val="clear" w:color="auto" w:fill="FFFFFF"/>
        <w:spacing w:before="100" w:beforeAutospacing="1" w:after="240"/>
        <w:rPr>
          <w:rFonts w:ascii="Arial" w:hAnsi="Arial" w:cs="Arial"/>
          <w:sz w:val="22"/>
          <w:szCs w:val="22"/>
        </w:rPr>
      </w:pPr>
      <w:r w:rsidRPr="00FE04C5">
        <w:rPr>
          <w:rFonts w:ascii="Arial" w:hAnsi="Arial" w:cs="Arial"/>
          <w:sz w:val="22"/>
          <w:szCs w:val="22"/>
        </w:rPr>
        <w:t xml:space="preserve">Infineon 1200 V TRENCHSTOP™ IGBT7 a emitorem řízené diodové moduly EC7 lze zakoupit u společností </w:t>
      </w:r>
      <w:hyperlink r:id="rId11" w:history="1">
        <w:r w:rsidRPr="00FE04C5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FE04C5">
        <w:rPr>
          <w:rFonts w:ascii="Arial" w:hAnsi="Arial" w:cs="Arial"/>
          <w:sz w:val="22"/>
          <w:szCs w:val="22"/>
        </w:rPr>
        <w:t xml:space="preserve"> (Evropa, Blízký východ a Afrika), </w:t>
      </w:r>
      <w:hyperlink r:id="rId12" w:history="1">
        <w:r w:rsidRPr="00FE04C5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r w:rsidRPr="00FE04C5">
        <w:rPr>
          <w:rFonts w:ascii="Arial" w:hAnsi="Arial" w:cs="Arial"/>
          <w:sz w:val="22"/>
          <w:szCs w:val="22"/>
        </w:rPr>
        <w:t xml:space="preserve"> (Severní Amerika) a </w:t>
      </w:r>
      <w:hyperlink r:id="rId13" w:history="1">
        <w:r w:rsidRPr="00FE04C5">
          <w:rPr>
            <w:rStyle w:val="Hyperlink"/>
            <w:rFonts w:ascii="Arial" w:hAnsi="Arial" w:cs="Arial"/>
            <w:sz w:val="22"/>
            <w:szCs w:val="22"/>
          </w:rPr>
          <w:t>element14</w:t>
        </w:r>
      </w:hyperlink>
      <w:r w:rsidRPr="00FE04C5">
        <w:rPr>
          <w:rFonts w:ascii="Arial" w:hAnsi="Arial" w:cs="Arial"/>
          <w:sz w:val="22"/>
          <w:szCs w:val="22"/>
        </w:rPr>
        <w:t xml:space="preserve"> (Asie a Oceánie).</w:t>
      </w:r>
    </w:p>
    <w:p w:rsidR="00FE04C5" w:rsidRPr="00FE04C5" w:rsidRDefault="00FE04C5" w:rsidP="00FE04C5">
      <w:pPr>
        <w:shd w:val="clear" w:color="auto" w:fill="FFFFFF"/>
        <w:spacing w:before="100" w:beforeAutospacing="1"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04C5" w:rsidRPr="00FE04C5" w:rsidRDefault="00FE04C5" w:rsidP="00FE04C5">
      <w:pPr>
        <w:shd w:val="clear" w:color="auto" w:fill="FFFFFF"/>
        <w:spacing w:after="240" w:line="276" w:lineRule="auto"/>
        <w:jc w:val="center"/>
        <w:rPr>
          <w:rFonts w:ascii="Arial" w:hAnsi="Arial" w:cs="Arial"/>
          <w:b/>
          <w:bCs/>
          <w:sz w:val="22"/>
          <w:szCs w:val="20"/>
        </w:rPr>
      </w:pPr>
    </w:p>
    <w:p w:rsidR="00FE04C5" w:rsidRPr="00FE04C5" w:rsidRDefault="00FE04C5" w:rsidP="00FE04C5">
      <w:pPr>
        <w:shd w:val="clear" w:color="auto" w:fill="FFFFFF"/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0"/>
        </w:rPr>
      </w:pPr>
      <w:r w:rsidRPr="00FE04C5">
        <w:rPr>
          <w:rFonts w:ascii="Arial" w:hAnsi="Arial" w:cs="Arial"/>
          <w:b/>
          <w:bCs/>
          <w:sz w:val="22"/>
          <w:szCs w:val="20"/>
        </w:rPr>
        <w:t>**Konec**</w:t>
      </w:r>
    </w:p>
    <w:p w:rsidR="00FE04C5" w:rsidRPr="00FE04C5" w:rsidRDefault="00FE04C5" w:rsidP="00FE04C5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FE04C5" w:rsidRPr="00FE04C5" w:rsidRDefault="00FE04C5" w:rsidP="00FE04C5">
      <w:pPr>
        <w:spacing w:line="276" w:lineRule="auto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FE04C5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FE04C5" w:rsidRPr="00FE04C5" w:rsidRDefault="00FE04C5" w:rsidP="00FE04C5">
      <w:pPr>
        <w:spacing w:line="276" w:lineRule="auto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spacing w:line="276" w:lineRule="auto"/>
        <w:rPr>
          <w:rFonts w:ascii="Arial" w:hAnsi="Arial" w:cs="Arial"/>
          <w:sz w:val="20"/>
          <w:szCs w:val="20"/>
        </w:rPr>
      </w:pPr>
      <w:r w:rsidRPr="00FE04C5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4" w:history="1">
        <w:r w:rsidRPr="00FE04C5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FE04C5" w:rsidRPr="00FE04C5" w:rsidRDefault="00FE04C5" w:rsidP="00FE04C5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O nás</w:t>
      </w: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04C5" w:rsidRPr="00FE04C5" w:rsidRDefault="007F38FC" w:rsidP="00FE04C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5" w:history="1">
        <w:r w:rsidR="00FE04C5" w:rsidRPr="00FE04C5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FE04C5" w:rsidRPr="00FE04C5">
        <w:rPr>
          <w:rFonts w:ascii="Arial" w:hAnsi="Arial" w:cs="Arial"/>
          <w:sz w:val="20"/>
          <w:szCs w:val="20"/>
        </w:rPr>
        <w:t xml:space="preserve"> je součástí skupiny firem </w:t>
      </w:r>
      <w:hyperlink r:id="rId16" w:history="1">
        <w:r w:rsidR="00FE04C5" w:rsidRPr="00FE04C5">
          <w:rPr>
            <w:rStyle w:val="Hyperlink"/>
            <w:rFonts w:ascii="Arial" w:hAnsi="Arial" w:cs="Arial"/>
            <w:sz w:val="20"/>
            <w:szCs w:val="20"/>
          </w:rPr>
          <w:t xml:space="preserve">Premier Farnell </w:t>
        </w:r>
      </w:hyperlink>
      <w:r w:rsidR="00FE04C5" w:rsidRPr="00FE04C5">
        <w:rPr>
          <w:rFonts w:ascii="Arial" w:hAnsi="Arial" w:cs="Arial"/>
          <w:sz w:val="20"/>
          <w:szCs w:val="20"/>
        </w:rPr>
        <w:t xml:space="preserve">, která je již více než 80 let globálním technologickým lídrem na poli prémiové distribuce technologických produktů a řešení pro navrhování, produkci, údržbu a opravu elektronických systémů. Skupina Premier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FE04C5">
        <w:rPr>
          <w:rFonts w:ascii="Arial" w:hAnsi="Arial" w:cs="Arial"/>
          <w:sz w:val="20"/>
          <w:szCs w:val="20"/>
        </w:rPr>
        <w:t xml:space="preserve">Společnost </w:t>
      </w:r>
      <w:r w:rsidRPr="00FE04C5">
        <w:rPr>
          <w:rFonts w:ascii="Arial" w:hAnsi="Arial" w:cs="Arial"/>
          <w:sz w:val="20"/>
          <w:szCs w:val="20"/>
          <w:shd w:val="clear" w:color="auto" w:fill="FFFFFF"/>
        </w:rPr>
        <w:t xml:space="preserve">Premier Farnell </w:t>
      </w:r>
      <w:r w:rsidRPr="00FE04C5">
        <w:rPr>
          <w:rFonts w:ascii="Arial" w:hAnsi="Arial" w:cs="Arial"/>
          <w:sz w:val="20"/>
          <w:szCs w:val="20"/>
        </w:rPr>
        <w:t>v Evropě obchoduje jako </w:t>
      </w:r>
      <w:hyperlink r:id="rId17" w:history="1">
        <w:r w:rsidRPr="00FE04C5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FE04C5">
        <w:rPr>
          <w:rFonts w:ascii="Arial" w:hAnsi="Arial" w:cs="Arial"/>
          <w:sz w:val="20"/>
          <w:szCs w:val="20"/>
        </w:rPr>
        <w:t xml:space="preserve">, v Severní Americe jako </w:t>
      </w:r>
      <w:hyperlink r:id="rId18" w:history="1">
        <w:r w:rsidRPr="00FE04C5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FE04C5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9" w:history="1">
        <w:r w:rsidRPr="00FE04C5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FE04C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E04C5">
        <w:rPr>
          <w:rFonts w:ascii="Arial" w:hAnsi="Arial" w:cs="Arial"/>
          <w:sz w:val="20"/>
          <w:szCs w:val="20"/>
        </w:rPr>
        <w:t xml:space="preserve"> Skupina Premier Farnell ve Velké Británii prodává přímo koncovým zákazníkům prostřednictvím obchodníků a své firmy </w:t>
      </w:r>
      <w:hyperlink r:id="rId20" w:history="1">
        <w:r w:rsidRPr="00FE04C5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FE04C5">
        <w:rPr>
          <w:rFonts w:ascii="Arial" w:hAnsi="Arial" w:cs="Arial"/>
          <w:sz w:val="20"/>
          <w:szCs w:val="20"/>
        </w:rPr>
        <w:t>.</w:t>
      </w: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E04C5">
        <w:rPr>
          <w:rFonts w:ascii="Arial" w:hAnsi="Arial" w:cs="Arial"/>
          <w:sz w:val="20"/>
          <w:szCs w:val="20"/>
        </w:rPr>
        <w:t xml:space="preserve">Premier Farnell je obchodní jednotkou společnosti Avnet, Inc. (Nasdaq: </w:t>
      </w:r>
      <w:hyperlink r:id="rId21" w:history="1">
        <w:r w:rsidRPr="00FE04C5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FE04C5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FE04C5" w:rsidRPr="00FE04C5" w:rsidRDefault="00FE04C5" w:rsidP="00FE04C5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FE04C5" w:rsidRPr="00FE04C5" w:rsidRDefault="00FE04C5" w:rsidP="00FE04C5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FE04C5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2" w:history="1">
        <w:r w:rsidRPr="00FE04C5">
          <w:rPr>
            <w:rStyle w:val="Hyperlink"/>
            <w:rFonts w:ascii="Arial" w:hAnsi="Arial" w:cs="Arial"/>
            <w:sz w:val="20"/>
            <w:szCs w:val="20"/>
          </w:rPr>
          <w:t>https://www.premierfarnell.com</w:t>
        </w:r>
      </w:hyperlink>
      <w:r w:rsidRPr="00FE04C5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FE04C5">
        <w:rPr>
          <w:rFonts w:ascii="Arial" w:hAnsi="Arial" w:cs="Arial"/>
          <w:sz w:val="20"/>
          <w:szCs w:val="20"/>
        </w:rPr>
        <w:t xml:space="preserve">a </w:t>
      </w:r>
      <w:hyperlink r:id="rId23" w:history="1">
        <w:r w:rsidRPr="00FE04C5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FE04C5">
        <w:rPr>
          <w:rFonts w:ascii="Arial" w:hAnsi="Arial" w:cs="Arial"/>
          <w:sz w:val="20"/>
          <w:szCs w:val="20"/>
        </w:rPr>
        <w:t xml:space="preserve">. </w:t>
      </w:r>
    </w:p>
    <w:p w:rsidR="00FE04C5" w:rsidRPr="00FE04C5" w:rsidRDefault="00FE04C5" w:rsidP="00FE04C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pStyle w:val="ColorfulList-Accent11"/>
        <w:spacing w:after="0" w:line="240" w:lineRule="auto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PR Agentura pro Evropu</w:t>
      </w:r>
      <w:r w:rsidRPr="00FE04C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FE04C5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Napier Partnership</w:t>
      </w:r>
    </w:p>
    <w:p w:rsidR="00FE04C5" w:rsidRPr="00FE04C5" w:rsidRDefault="00FE04C5" w:rsidP="00FE04C5">
      <w:pPr>
        <w:ind w:right="-1"/>
        <w:rPr>
          <w:rFonts w:ascii="Arial" w:hAnsi="Arial" w:cs="Arial"/>
          <w:bCs/>
          <w:sz w:val="20"/>
          <w:szCs w:val="20"/>
        </w:rPr>
      </w:pPr>
      <w:r w:rsidRPr="00FE04C5">
        <w:rPr>
          <w:rFonts w:ascii="Arial" w:hAnsi="Arial" w:cs="Arial"/>
          <w:bCs/>
          <w:sz w:val="20"/>
          <w:szCs w:val="20"/>
        </w:rPr>
        <w:t>Tel: +44 1243 531123</w:t>
      </w:r>
    </w:p>
    <w:p w:rsidR="00FE04C5" w:rsidRPr="00FE04C5" w:rsidRDefault="00FE04C5" w:rsidP="00FE04C5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FE04C5">
        <w:rPr>
          <w:rFonts w:ascii="Arial" w:hAnsi="Arial" w:cs="Arial"/>
          <w:bCs/>
          <w:sz w:val="20"/>
          <w:szCs w:val="20"/>
        </w:rPr>
        <w:t xml:space="preserve">E-mail: </w:t>
      </w:r>
      <w:hyperlink r:id="rId24" w:history="1">
        <w:r w:rsidRPr="00FE04C5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Premier Farnell:</w:t>
      </w:r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Holly Smart</w:t>
      </w:r>
    </w:p>
    <w:p w:rsidR="00FE04C5" w:rsidRPr="00FE04C5" w:rsidRDefault="00FE04C5" w:rsidP="00FE04C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FE04C5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:rsidR="00FE04C5" w:rsidRPr="00FE04C5" w:rsidRDefault="00FE04C5" w:rsidP="00FE04C5">
      <w:pPr>
        <w:ind w:right="-1"/>
        <w:rPr>
          <w:rFonts w:ascii="Arial" w:hAnsi="Arial" w:cs="Arial"/>
          <w:bCs/>
          <w:sz w:val="20"/>
          <w:szCs w:val="20"/>
        </w:rPr>
      </w:pPr>
      <w:r w:rsidRPr="00FE04C5">
        <w:rPr>
          <w:rFonts w:ascii="Arial" w:hAnsi="Arial" w:cs="Arial"/>
          <w:bCs/>
          <w:sz w:val="20"/>
          <w:szCs w:val="20"/>
        </w:rPr>
        <w:t>Tel: +44 113 2485188</w:t>
      </w:r>
    </w:p>
    <w:p w:rsidR="00FE04C5" w:rsidRPr="00FE04C5" w:rsidRDefault="00FE04C5" w:rsidP="00FE04C5">
      <w:pPr>
        <w:ind w:right="-1"/>
        <w:rPr>
          <w:rFonts w:ascii="Arial" w:hAnsi="Arial" w:cs="Arial"/>
          <w:sz w:val="20"/>
          <w:szCs w:val="20"/>
          <w:u w:val="single"/>
        </w:rPr>
      </w:pPr>
      <w:r w:rsidRPr="00FE04C5">
        <w:rPr>
          <w:rFonts w:ascii="Arial" w:hAnsi="Arial" w:cs="Arial"/>
          <w:bCs/>
          <w:sz w:val="20"/>
          <w:szCs w:val="20"/>
        </w:rPr>
        <w:t>E-mail:</w:t>
      </w:r>
      <w:r w:rsidRPr="00FE04C5">
        <w:rPr>
          <w:rFonts w:ascii="Arial" w:hAnsi="Arial" w:cs="Arial"/>
          <w:b/>
          <w:bCs/>
          <w:sz w:val="20"/>
          <w:szCs w:val="20"/>
        </w:rPr>
        <w:t> </w:t>
      </w:r>
      <w:hyperlink r:id="rId25" w:history="1">
        <w:r w:rsidRPr="00FE04C5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FE04C5">
        <w:rPr>
          <w:rFonts w:ascii="Arial" w:hAnsi="Arial" w:cs="Arial"/>
          <w:bCs/>
          <w:sz w:val="20"/>
          <w:szCs w:val="20"/>
        </w:rPr>
        <w:t xml:space="preserve">  </w:t>
      </w:r>
    </w:p>
    <w:p w:rsidR="00FE04C5" w:rsidRPr="00FE04C5" w:rsidRDefault="00FE04C5" w:rsidP="00FE04C5">
      <w:pPr>
        <w:spacing w:after="240"/>
        <w:ind w:right="-1"/>
        <w:rPr>
          <w:rFonts w:ascii="Arial" w:hAnsi="Arial" w:cs="Arial"/>
          <w:sz w:val="20"/>
          <w:szCs w:val="20"/>
        </w:rPr>
      </w:pPr>
    </w:p>
    <w:p w:rsidR="00FE04C5" w:rsidRPr="00FE04C5" w:rsidRDefault="00FE04C5" w:rsidP="00FE04C5">
      <w:pPr>
        <w:spacing w:after="240"/>
        <w:rPr>
          <w:rFonts w:ascii="Arial" w:hAnsi="Arial" w:cs="Arial"/>
          <w:sz w:val="20"/>
          <w:szCs w:val="20"/>
        </w:rPr>
      </w:pPr>
    </w:p>
    <w:p w:rsidR="00E35381" w:rsidRPr="00FE04C5" w:rsidRDefault="00E35381" w:rsidP="00FE04C5">
      <w:pPr>
        <w:spacing w:after="240"/>
        <w:rPr>
          <w:rFonts w:ascii="Arial" w:hAnsi="Arial" w:cs="Arial"/>
          <w:sz w:val="20"/>
          <w:szCs w:val="20"/>
        </w:rPr>
      </w:pPr>
    </w:p>
    <w:sectPr w:rsidR="00E35381" w:rsidRPr="00FE04C5" w:rsidSect="00FE04C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C5" w:rsidRDefault="00FE04C5" w:rsidP="00FE04C5">
      <w:r>
        <w:separator/>
      </w:r>
    </w:p>
  </w:endnote>
  <w:endnote w:type="continuationSeparator" w:id="0">
    <w:p w:rsidR="00FE04C5" w:rsidRDefault="00FE04C5" w:rsidP="00F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FE04C5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FE04C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7F38F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FE04C5" w:rsidRDefault="007F38FC" w:rsidP="00FE04C5">
    <w:pPr>
      <w:tabs>
        <w:tab w:val="left" w:pos="3140"/>
      </w:tabs>
      <w:rPr>
        <w:rFonts w:ascii="Arial" w:eastAsia="Caibri" w:hAnsi="Arial" w:cs="Arial"/>
        <w:sz w:val="20"/>
        <w:szCs w:val="22"/>
      </w:rPr>
    </w:pPr>
    <w:bookmarkStart w:id="2" w:name="XILINX1FooterPrimary"/>
    <w:r>
      <w:rPr>
        <w:rFonts w:ascii="Arial" w:hAnsi="Arial" w:cs="Arial"/>
        <w:sz w:val="20"/>
        <w:szCs w:val="22"/>
      </w:rPr>
      <w:t>FAR432</w:t>
    </w:r>
    <w:r w:rsidR="00FE04C5">
      <w:rPr>
        <w:rFonts w:ascii="Arial" w:hAnsi="Arial" w:cs="Arial"/>
        <w:sz w:val="20"/>
        <w:szCs w:val="22"/>
      </w:rPr>
      <w:t>cz</w:t>
    </w:r>
    <w:r w:rsidR="00FE04C5">
      <w:rPr>
        <w:rFonts w:ascii="Arial" w:hAnsi="Arial" w:cs="Arial"/>
        <w:sz w:val="20"/>
        <w:szCs w:val="22"/>
      </w:rPr>
      <w:tab/>
    </w:r>
  </w:p>
  <w:p w:rsidR="00844F2C" w:rsidRDefault="00FE04C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7F38FC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FE04C5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FE04C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7F38F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C5" w:rsidRDefault="00FE04C5" w:rsidP="00FE04C5">
      <w:r>
        <w:separator/>
      </w:r>
    </w:p>
  </w:footnote>
  <w:footnote w:type="continuationSeparator" w:id="0">
    <w:p w:rsidR="00FE04C5" w:rsidRDefault="00FE04C5" w:rsidP="00FE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FE04C5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F096DCF" wp14:editId="77C64E60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DB9B137" wp14:editId="27D033AB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795AF2CC" wp14:editId="3121677C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7F38FC" w:rsidP="00844F2C">
    <w:pPr>
      <w:tabs>
        <w:tab w:val="left" w:pos="4905"/>
      </w:tabs>
      <w:rPr>
        <w:noProof/>
        <w:lang w:eastAsia="en-GB"/>
      </w:rPr>
    </w:pPr>
  </w:p>
  <w:p w:rsidR="00844F2C" w:rsidRDefault="00FE04C5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C5" w:rsidRDefault="00FE04C5" w:rsidP="00FE04C5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4A4E0F7" wp14:editId="14571423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2" name="Picture 2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BAC433A" wp14:editId="4A9BF0F8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0" name="Picture 10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FE04C5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FE04C5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71B0780" wp14:editId="52FB93DD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8646160" wp14:editId="5DF85C6A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675"/>
    <w:multiLevelType w:val="hybridMultilevel"/>
    <w:tmpl w:val="04E4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5"/>
    <w:rsid w:val="007F38FC"/>
    <w:rsid w:val="00E35381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6A550C-734E-4BEA-8215-4B1598D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04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04C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4C5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FE0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NormalWeb">
    <w:name w:val="Normal (Web)"/>
    <w:basedOn w:val="Normal"/>
    <w:uiPriority w:val="99"/>
    <w:unhideWhenUsed/>
    <w:rsid w:val="00FE0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FE04C5"/>
    <w:rPr>
      <w:rFonts w:ascii="Calibri Light" w:eastAsia="Times New Roman" w:hAnsi="Calibri Light" w:cs="Times New Roman"/>
      <w:b/>
      <w:bCs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FE0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ineon.com/cms/en/product/power/igbt/igbt-modules/easy/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://cz.farnell.com/" TargetMode="External"/><Relationship Id="rId25" Type="http://schemas.openxmlformats.org/officeDocument/2006/relationships/hyperlink" Target="mailto:hsmart@premierfarnel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.farnell.com/" TargetMode="External"/><Relationship Id="rId24" Type="http://schemas.openxmlformats.org/officeDocument/2006/relationships/hyperlink" Target="mailto:chloe@napierb2b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z.farnell.com/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nfineon.com/cms/en/product/power/igbt/igbt-modules/" TargetMode="External"/><Relationship Id="rId19" Type="http://schemas.openxmlformats.org/officeDocument/2006/relationships/hyperlink" Target="http://sg.element14.com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fineon.com/cms/en/product/power/igbt/igbt-modules/easy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premierfarnel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4371</Characters>
  <Application>Microsoft Office Word</Application>
  <DocSecurity>0</DocSecurity>
  <Lines>36</Lines>
  <Paragraphs>10</Paragraphs>
  <ScaleCrop>false</ScaleCrop>
  <Company>Premier Farnell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2019-05-16T12:28:00Z</dcterms:created>
  <dcterms:modified xsi:type="dcterms:W3CDTF">2019-05-16T14:51:00Z</dcterms:modified>
</cp:coreProperties>
</file>