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F3" w:rsidRPr="000654F3" w:rsidRDefault="000654F3" w:rsidP="000654F3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</w:rPr>
      </w:pPr>
      <w:bookmarkStart w:id="0" w:name="_GoBack"/>
      <w:r w:rsidRPr="000654F3">
        <w:rPr>
          <w:rFonts w:ascii="Arial" w:hAnsi="Arial"/>
          <w:b/>
          <w:color w:val="000000" w:themeColor="text1"/>
          <w:sz w:val="26"/>
          <w:szCs w:val="26"/>
        </w:rPr>
        <w:t>Společnost Farnell uvádí řadu Arduino Portenta pro vývoj průmyslového IoT s malým podílem programování</w:t>
      </w:r>
    </w:p>
    <w:bookmarkEnd w:id="0"/>
    <w:p w:rsidR="000654F3" w:rsidRPr="000654F3" w:rsidRDefault="000654F3" w:rsidP="000654F3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r w:rsidRPr="000654F3">
        <w:rPr>
          <w:rFonts w:ascii="Arial" w:hAnsi="Arial"/>
          <w:i/>
          <w:color w:val="000000" w:themeColor="text1"/>
          <w:sz w:val="22"/>
          <w:szCs w:val="22"/>
        </w:rPr>
        <w:t>Arduino Portenta H7 je nyní k dispozici k objednání</w:t>
      </w:r>
    </w:p>
    <w:p w:rsidR="000654F3" w:rsidRPr="000654F3" w:rsidRDefault="000654F3" w:rsidP="000654F3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</w:pPr>
    </w:p>
    <w:p w:rsidR="000654F3" w:rsidRPr="000654F3" w:rsidRDefault="000654F3" w:rsidP="000654F3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654F3">
        <w:rPr>
          <w:rFonts w:ascii="Arial" w:hAnsi="Arial"/>
          <w:b/>
          <w:color w:val="000000" w:themeColor="text1"/>
          <w:sz w:val="22"/>
          <w:szCs w:val="22"/>
        </w:rPr>
        <w:t>Leeds, Spojené království, 21. července 2020:</w:t>
      </w:r>
      <w:r w:rsidRPr="000654F3">
        <w:rPr>
          <w:rFonts w:ascii="Arial" w:hAnsi="Arial"/>
          <w:color w:val="000000" w:themeColor="text1"/>
          <w:sz w:val="22"/>
          <w:szCs w:val="22"/>
        </w:rPr>
        <w:t xml:space="preserve"> Společnost </w:t>
      </w:r>
      <w:hyperlink r:id="rId7" w:history="1">
        <w:r w:rsidRPr="000654F3">
          <w:rPr>
            <w:rStyle w:val="Hyperlink"/>
            <w:rFonts w:ascii="Arial" w:hAnsi="Arial"/>
            <w:sz w:val="22"/>
            <w:szCs w:val="22"/>
          </w:rPr>
          <w:t>Farnell</w:t>
        </w:r>
      </w:hyperlink>
      <w:r w:rsidRPr="000654F3">
        <w:rPr>
          <w:rFonts w:ascii="Arial" w:hAnsi="Arial"/>
          <w:color w:val="000000" w:themeColor="text1"/>
          <w:sz w:val="22"/>
          <w:szCs w:val="22"/>
        </w:rPr>
        <w:t xml:space="preserve">, distributor vývojových nástrojů, má ve své široké řadě jednodeskových počítačů nově produkt Portenta H7, což je nejnovější nabídka od společnosti </w:t>
      </w:r>
      <w:hyperlink r:id="rId8" w:history="1">
        <w:r w:rsidRPr="000654F3">
          <w:rPr>
            <w:rStyle w:val="Hyperlink"/>
            <w:rFonts w:ascii="Arial" w:hAnsi="Arial"/>
            <w:sz w:val="22"/>
            <w:szCs w:val="22"/>
          </w:rPr>
          <w:t>Arduino</w:t>
        </w:r>
      </w:hyperlink>
      <w:r w:rsidRPr="000654F3">
        <w:rPr>
          <w:rFonts w:ascii="Arial" w:hAnsi="Arial"/>
          <w:color w:val="000000" w:themeColor="text1"/>
          <w:sz w:val="22"/>
          <w:szCs w:val="22"/>
        </w:rPr>
        <w:t>.  Zařízení plní rostoucí poptávku od velkých, středních i malých podniků a profesionálních tvůrců po modulárních hardwarových systémech s malým podílem kódování na podporu vývoje IoT.  Řada Arduino Portenta obsahuje energeticky úsporné desky určené speciálně pro průmyslové aplikace, zpracování edge v oblasti umělé inteligence (AI) a robotiku a zároveň zavádí nové standardy otevřeného propojení s vysokou hustotou na podporu pokročilých periferních zařízení.</w:t>
      </w:r>
    </w:p>
    <w:p w:rsidR="000654F3" w:rsidRPr="000654F3" w:rsidRDefault="000654F3" w:rsidP="000654F3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:rsidR="000654F3" w:rsidRPr="000654F3" w:rsidRDefault="000654F3" w:rsidP="000654F3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654F3">
        <w:rPr>
          <w:rFonts w:ascii="Arial" w:hAnsi="Arial"/>
          <w:color w:val="000000" w:themeColor="text1"/>
          <w:sz w:val="22"/>
          <w:szCs w:val="22"/>
        </w:rPr>
        <w:t xml:space="preserve">První produkt z řady, modul Arduino Portenta H7, obsahuje vše, co potřebujete, abyste mohli začít s vývojem hardwaru IoT, včetně čipu pro kryptografické ověření, komunikačních modulů pro Wi-Fi, Bluetooth Low Energy a LTE a také úzkopásmovéh IoT. Platforma pro vývoj aplikací s nízkým podílem programování s modulárním hardwarem umožňuje společnostem a tvůrcům budovat, měřit a provádět iterace bez zdlouhavých integračních projektů. Uživatelé také mohou využít hodnotu a použitelnost platformy na vývoj aplikací Arduino IoT (cloud Arduino IoT, Pro IDE s integrací do cloudu, editor uživatelského rozhraní IoT) ke zjednodušení vytváření a uvádění vlastních propojených produktů na trh.  </w:t>
      </w:r>
    </w:p>
    <w:p w:rsidR="000654F3" w:rsidRPr="000654F3" w:rsidRDefault="000654F3" w:rsidP="000654F3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:rsidR="000654F3" w:rsidRPr="000654F3" w:rsidRDefault="000654F3" w:rsidP="000654F3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654F3">
        <w:rPr>
          <w:rFonts w:ascii="Arial" w:hAnsi="Arial"/>
          <w:color w:val="000000" w:themeColor="text1"/>
          <w:sz w:val="22"/>
          <w:szCs w:val="22"/>
        </w:rPr>
        <w:t>Díky kombinaci výkonu a flexibility je deska vhodná na aplikace, kde je klíčový výkon, jako například špičkové průmyslové stroje, laboratorní vybavení, počítačové vidění, PLC, průmyslová uživatelská rozhraní, robotika, klíčová zařízení, specializované stacionární počítače a vysokorychlostní spouštěcí výpočetní zařízení.</w:t>
      </w:r>
    </w:p>
    <w:p w:rsidR="000654F3" w:rsidRPr="000654F3" w:rsidRDefault="000654F3" w:rsidP="000654F3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:rsidR="000654F3" w:rsidRPr="000654F3" w:rsidRDefault="000654F3" w:rsidP="000654F3">
      <w:pPr>
        <w:shd w:val="clear" w:color="auto" w:fill="FFFFFF"/>
        <w:spacing w:line="276" w:lineRule="auto"/>
        <w:rPr>
          <w:rFonts w:ascii="Arial" w:hAnsi="Arial" w:cs="Arial"/>
          <w:color w:val="000000" w:themeColor="text1"/>
          <w:spacing w:val="5"/>
          <w:sz w:val="22"/>
          <w:szCs w:val="22"/>
        </w:rPr>
      </w:pPr>
      <w:r w:rsidRPr="000654F3">
        <w:rPr>
          <w:rFonts w:ascii="Arial" w:hAnsi="Arial"/>
          <w:color w:val="000000" w:themeColor="text1"/>
          <w:sz w:val="22"/>
          <w:szCs w:val="22"/>
        </w:rPr>
        <w:t>Zařízení Portenta H7 obsahuje dvoujádrový procesor ARM Cortex-M7 a Cortex-M4 o frekvenci 480 MHz, respektive 240 MHz, který zvládne spouštět kód na vysoké úrovni, jako jsou zásobníky protokolů, strojové učení, nebo dokonce interpretované jazyky, například MicroPython nebo JavaScript, a současně v reálném čase úlohy nízké úrovně. Má stejné provedení jako Arduino MKR, což znamená, že lze použít libovolnou stávající průmyslovou desku MKR, dá se na něm spustit kód Arduino, Python i Javascript a funguje v průmyslovém rozpětí teplot (−40 až 85 °C).</w:t>
      </w:r>
    </w:p>
    <w:p w:rsidR="000654F3" w:rsidRPr="000654F3" w:rsidRDefault="000654F3" w:rsidP="000654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pacing w:val="5"/>
          <w:sz w:val="22"/>
          <w:szCs w:val="22"/>
        </w:rPr>
      </w:pPr>
    </w:p>
    <w:p w:rsidR="000654F3" w:rsidRPr="000654F3" w:rsidRDefault="000654F3" w:rsidP="000654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 w:themeColor="text1"/>
          <w:spacing w:val="5"/>
          <w:sz w:val="22"/>
          <w:szCs w:val="22"/>
        </w:rPr>
      </w:pPr>
      <w:r w:rsidRPr="000654F3">
        <w:rPr>
          <w:rFonts w:ascii="Arial" w:hAnsi="Arial"/>
          <w:b/>
          <w:color w:val="000000" w:themeColor="text1"/>
          <w:sz w:val="22"/>
          <w:szCs w:val="22"/>
        </w:rPr>
        <w:t>Mezi hlavní vlastnosti patří:</w:t>
      </w:r>
    </w:p>
    <w:p w:rsidR="000654F3" w:rsidRPr="000654F3" w:rsidRDefault="000654F3" w:rsidP="000654F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pacing w:val="5"/>
          <w:sz w:val="22"/>
          <w:szCs w:val="22"/>
        </w:rPr>
      </w:pPr>
      <w:r w:rsidRPr="000654F3">
        <w:rPr>
          <w:rFonts w:ascii="Arial" w:hAnsi="Arial"/>
          <w:b/>
          <w:bCs/>
          <w:color w:val="000000" w:themeColor="text1"/>
          <w:sz w:val="22"/>
          <w:szCs w:val="22"/>
        </w:rPr>
        <w:t>Procesor:</w:t>
      </w:r>
      <w:r w:rsidRPr="000654F3">
        <w:rPr>
          <w:rFonts w:ascii="Arial" w:hAnsi="Arial"/>
          <w:color w:val="000000" w:themeColor="text1"/>
          <w:sz w:val="22"/>
          <w:szCs w:val="22"/>
        </w:rPr>
        <w:t>  STM32H747XI dvoujádrový Cortex®-M7+M4 32bitový energeticky úsporný Arm® MCU</w:t>
      </w:r>
    </w:p>
    <w:p w:rsidR="000654F3" w:rsidRPr="000654F3" w:rsidRDefault="000654F3" w:rsidP="000654F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6" w:lineRule="auto"/>
        <w:ind w:hanging="357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654F3">
        <w:rPr>
          <w:rFonts w:ascii="Arial" w:hAnsi="Arial"/>
          <w:b/>
          <w:bCs/>
          <w:color w:val="000000" w:themeColor="text1"/>
          <w:sz w:val="22"/>
          <w:szCs w:val="22"/>
        </w:rPr>
        <w:t>Připojení:</w:t>
      </w:r>
    </w:p>
    <w:p w:rsidR="000654F3" w:rsidRPr="000654F3" w:rsidRDefault="000654F3" w:rsidP="000654F3">
      <w:pPr>
        <w:pStyle w:val="ListParagraph"/>
        <w:numPr>
          <w:ilvl w:val="1"/>
          <w:numId w:val="2"/>
        </w:numPr>
        <w:spacing w:after="0" w:line="276" w:lineRule="auto"/>
        <w:ind w:hanging="357"/>
        <w:rPr>
          <w:rFonts w:ascii="Arial" w:eastAsia="Times New Roman" w:hAnsi="Arial" w:cs="Arial"/>
          <w:color w:val="000000" w:themeColor="text1"/>
          <w:spacing w:val="5"/>
        </w:rPr>
      </w:pPr>
      <w:r w:rsidRPr="000654F3">
        <w:rPr>
          <w:rFonts w:ascii="Arial" w:hAnsi="Arial"/>
          <w:color w:val="000000" w:themeColor="text1"/>
        </w:rPr>
        <w:t>Integrovaný bezdrátový modul umožňuje připojení Wi-Fi a Bluetooth®. Rozhraní Wi-Fi je možné provozovat jako přístupový bod, stanici nebo v duálním režimu současného AP/STA a zvládne rychlost až 65 Mb/s. Rozhraní Bluetooth® podporuje Bluetooth Classic a BLE.</w:t>
      </w:r>
    </w:p>
    <w:p w:rsidR="000654F3" w:rsidRPr="000654F3" w:rsidRDefault="000654F3" w:rsidP="000654F3">
      <w:pPr>
        <w:pStyle w:val="ListParagraph"/>
        <w:numPr>
          <w:ilvl w:val="1"/>
          <w:numId w:val="2"/>
        </w:numPr>
        <w:spacing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  <w:r w:rsidRPr="000654F3">
        <w:rPr>
          <w:rFonts w:ascii="Arial" w:hAnsi="Arial"/>
          <w:color w:val="000000" w:themeColor="text1"/>
        </w:rPr>
        <w:t>Fyzická vrstva Ethernet 10/100</w:t>
      </w:r>
    </w:p>
    <w:p w:rsidR="000654F3" w:rsidRPr="000654F3" w:rsidRDefault="000654F3" w:rsidP="000654F3">
      <w:pPr>
        <w:pStyle w:val="ListParagraph"/>
        <w:numPr>
          <w:ilvl w:val="1"/>
          <w:numId w:val="2"/>
        </w:numPr>
        <w:spacing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  <w:r w:rsidRPr="000654F3">
        <w:rPr>
          <w:rFonts w:ascii="Arial" w:hAnsi="Arial"/>
          <w:color w:val="000000" w:themeColor="text1"/>
        </w:rPr>
        <w:t>Fyzická vrstva vysokorychlostního rozhraní USB</w:t>
      </w:r>
    </w:p>
    <w:p w:rsidR="000654F3" w:rsidRPr="000654F3" w:rsidRDefault="000654F3" w:rsidP="000654F3">
      <w:pPr>
        <w:pStyle w:val="ListParagraph"/>
        <w:spacing w:after="0" w:line="276" w:lineRule="auto"/>
        <w:ind w:left="1440"/>
        <w:rPr>
          <w:rFonts w:ascii="Arial" w:eastAsia="Times New Roman" w:hAnsi="Arial" w:cs="Arial"/>
          <w:color w:val="000000" w:themeColor="text1"/>
          <w:spacing w:val="5"/>
          <w:lang w:eastAsia="en-GB"/>
        </w:rPr>
      </w:pPr>
    </w:p>
    <w:p w:rsidR="000654F3" w:rsidRPr="000654F3" w:rsidRDefault="000654F3" w:rsidP="000654F3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  <w:r w:rsidRPr="000654F3">
        <w:rPr>
          <w:rFonts w:ascii="Arial" w:hAnsi="Arial"/>
          <w:b/>
          <w:bCs/>
          <w:color w:val="000000" w:themeColor="text1"/>
        </w:rPr>
        <w:t>Paměť:</w:t>
      </w:r>
      <w:r w:rsidRPr="000654F3">
        <w:rPr>
          <w:rFonts w:ascii="Arial" w:hAnsi="Arial"/>
          <w:bCs/>
          <w:color w:val="000000" w:themeColor="text1"/>
        </w:rPr>
        <w:t xml:space="preserve"> možnosti až do 64 MB paměti SDRAM a 128 MB paměti QSPI Flash. </w:t>
      </w:r>
    </w:p>
    <w:p w:rsidR="000654F3" w:rsidRPr="000654F3" w:rsidRDefault="000654F3" w:rsidP="000654F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6" w:lineRule="auto"/>
        <w:ind w:hanging="357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  <w:r w:rsidRPr="000654F3">
        <w:rPr>
          <w:rFonts w:ascii="Arial" w:hAnsi="Arial"/>
          <w:b/>
          <w:bCs/>
          <w:color w:val="000000" w:themeColor="text1"/>
          <w:sz w:val="22"/>
          <w:szCs w:val="22"/>
        </w:rPr>
        <w:t>Grafické připojení:</w:t>
      </w:r>
      <w:r w:rsidRPr="000654F3">
        <w:rPr>
          <w:rFonts w:ascii="Arial" w:hAnsi="Arial"/>
          <w:bCs/>
          <w:color w:val="000000" w:themeColor="text1"/>
          <w:sz w:val="22"/>
          <w:szCs w:val="22"/>
        </w:rPr>
        <w:t xml:space="preserve"> Port zobrazení přes port USB-C.</w:t>
      </w:r>
    </w:p>
    <w:p w:rsidR="000654F3" w:rsidRPr="000654F3" w:rsidRDefault="000654F3" w:rsidP="000654F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6" w:lineRule="auto"/>
        <w:ind w:hanging="357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  <w:r w:rsidRPr="000654F3">
        <w:rPr>
          <w:rFonts w:ascii="Arial" w:hAnsi="Arial"/>
          <w:b/>
          <w:bCs/>
          <w:color w:val="000000" w:themeColor="text1"/>
          <w:sz w:val="22"/>
          <w:szCs w:val="22"/>
        </w:rPr>
        <w:lastRenderedPageBreak/>
        <w:t>Šifrování</w:t>
      </w:r>
      <w:r w:rsidRPr="000654F3">
        <w:rPr>
          <w:rFonts w:ascii="Arial" w:hAnsi="Arial"/>
          <w:bCs/>
          <w:color w:val="000000" w:themeColor="text1"/>
          <w:sz w:val="22"/>
          <w:szCs w:val="22"/>
        </w:rPr>
        <w:t>: NXP SE050C2 Crypto</w:t>
      </w:r>
    </w:p>
    <w:p w:rsidR="000654F3" w:rsidRPr="000654F3" w:rsidRDefault="000654F3" w:rsidP="000654F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6" w:lineRule="auto"/>
        <w:ind w:hanging="357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  <w:r w:rsidRPr="000654F3">
        <w:rPr>
          <w:rFonts w:ascii="Arial" w:hAnsi="Arial"/>
          <w:b/>
          <w:bCs/>
          <w:color w:val="000000" w:themeColor="text1"/>
          <w:sz w:val="22"/>
          <w:szCs w:val="22"/>
        </w:rPr>
        <w:t>GPIO:</w:t>
      </w:r>
      <w:r w:rsidRPr="000654F3">
        <w:rPr>
          <w:rFonts w:ascii="Arial" w:hAnsi="Arial"/>
          <w:color w:val="000000" w:themeColor="text1"/>
          <w:sz w:val="22"/>
          <w:szCs w:val="22"/>
        </w:rPr>
        <w:t> </w:t>
      </w:r>
      <w:r w:rsidRPr="000654F3">
        <w:rPr>
          <w:rFonts w:ascii="Arial" w:hAnsi="Arial"/>
          <w:bCs/>
          <w:color w:val="000000" w:themeColor="text1"/>
          <w:sz w:val="22"/>
          <w:szCs w:val="22"/>
        </w:rPr>
        <w:t>Řada Portenta představuje nový standard rozvržení pinů, protože obsahuje ve spodní části desky dva 80 pinové konektory s vysokou hustotou, čímž je zajištěna škálovatelnost v široké řadě aplikací.</w:t>
      </w:r>
    </w:p>
    <w:p w:rsidR="000654F3" w:rsidRPr="000654F3" w:rsidRDefault="000654F3" w:rsidP="000654F3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ind w:hanging="357"/>
        <w:rPr>
          <w:rFonts w:ascii="Arial" w:eastAsia="Times New Roman" w:hAnsi="Arial" w:cs="Arial"/>
          <w:color w:val="000000" w:themeColor="text1"/>
          <w:spacing w:val="5"/>
        </w:rPr>
      </w:pPr>
      <w:r w:rsidRPr="000654F3">
        <w:rPr>
          <w:rFonts w:ascii="Arial" w:hAnsi="Arial"/>
          <w:b/>
          <w:bCs/>
          <w:color w:val="000000" w:themeColor="text1"/>
        </w:rPr>
        <w:t>Podpora karet SD:</w:t>
      </w:r>
      <w:r w:rsidRPr="000654F3">
        <w:rPr>
          <w:rFonts w:ascii="Arial" w:hAnsi="Arial"/>
          <w:color w:val="000000" w:themeColor="text1"/>
        </w:rPr>
        <w:t> Rozhraní pro připojení k art SD (pouze prostřednictvím rozšiřujícího portu)</w:t>
      </w:r>
    </w:p>
    <w:p w:rsidR="000654F3" w:rsidRPr="000654F3" w:rsidRDefault="000654F3" w:rsidP="000654F3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ind w:hanging="357"/>
        <w:rPr>
          <w:rFonts w:ascii="Arial" w:eastAsia="Times New Roman" w:hAnsi="Arial" w:cs="Arial"/>
          <w:color w:val="000000" w:themeColor="text1"/>
          <w:spacing w:val="5"/>
        </w:rPr>
      </w:pPr>
      <w:r w:rsidRPr="000654F3">
        <w:rPr>
          <w:rFonts w:ascii="Arial" w:hAnsi="Arial"/>
          <w:b/>
          <w:color w:val="000000" w:themeColor="text1"/>
        </w:rPr>
        <w:t>Provozní teplota: −</w:t>
      </w:r>
      <w:r w:rsidRPr="000654F3">
        <w:rPr>
          <w:rFonts w:ascii="Arial" w:hAnsi="Arial"/>
          <w:color w:val="000000" w:themeColor="text1"/>
        </w:rPr>
        <w:t>40 °C až +85 °C (bez bezdrátového modulu) / −10 °C až +55 °C (s bezdrátovým modulem)</w:t>
      </w:r>
    </w:p>
    <w:p w:rsidR="000654F3" w:rsidRPr="000654F3" w:rsidRDefault="000654F3" w:rsidP="000654F3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:rsidR="000654F3" w:rsidRPr="000654F3" w:rsidRDefault="000654F3" w:rsidP="000654F3">
      <w:pPr>
        <w:spacing w:line="276" w:lineRule="auto"/>
        <w:rPr>
          <w:rFonts w:ascii="Arial" w:eastAsia="Times New Roman" w:hAnsi="Arial" w:cs="Arial"/>
          <w:color w:val="000000" w:themeColor="text1"/>
          <w:spacing w:val="-2"/>
          <w:sz w:val="22"/>
          <w:szCs w:val="22"/>
        </w:rPr>
      </w:pPr>
      <w:r w:rsidRPr="000654F3">
        <w:rPr>
          <w:rFonts w:ascii="Arial" w:hAnsi="Arial"/>
          <w:b/>
          <w:color w:val="000000" w:themeColor="text1"/>
          <w:sz w:val="22"/>
          <w:szCs w:val="22"/>
        </w:rPr>
        <w:t>Cliff Ortmeyer, Global Head of Technical Marketing společnosti Farnell k tomu řekl:</w:t>
      </w:r>
      <w:r w:rsidRPr="000654F3">
        <w:rPr>
          <w:rFonts w:ascii="Arial" w:hAnsi="Arial"/>
          <w:color w:val="000000" w:themeColor="text1"/>
          <w:sz w:val="22"/>
          <w:szCs w:val="22"/>
        </w:rPr>
        <w:t xml:space="preserve"> „Společnost Farnell má na skladě širokou řadu modulárních řešení, která umožňují zákazníkům zkrátit dobu uvádění na trh a maximalizovat potenciál vývoje pro IoT.  Zařízení Arduino Portenta H7 v sobě kombinuje vynikající výkon a flexibilitu a je možné jej používat stejně jako ostatní integrované desky mikrokontrolérů nebo jako hlavní procesor integrovaného systému.  Zvládne také spouštět procesy vytvořené nástrojem TensorFlow™ Lite, takže může jedno jádro počítat algoritmus počítačového vidění a druhé poskytovat operace nízké úrovně, jako je ovládání motoru nebo poskytování uživatelského rozhraní.  Jedná se o skvělý přírůstek do naší řady, který malým a středním podnikům i profesionálním tvůrcům dává nástroje, které potřebují k vývoji řešení IoT, aniž by museli investovat do specializovaných technických prostředků.“</w:t>
      </w:r>
    </w:p>
    <w:p w:rsidR="000654F3" w:rsidRPr="000654F3" w:rsidRDefault="000654F3" w:rsidP="000654F3">
      <w:pPr>
        <w:spacing w:line="276" w:lineRule="auto"/>
        <w:rPr>
          <w:rFonts w:ascii="Arial" w:eastAsia="Times New Roman" w:hAnsi="Arial" w:cs="Arial"/>
          <w:color w:val="000000" w:themeColor="text1"/>
          <w:spacing w:val="-2"/>
          <w:sz w:val="22"/>
          <w:szCs w:val="22"/>
          <w:lang w:eastAsia="en-GB"/>
        </w:rPr>
      </w:pPr>
    </w:p>
    <w:p w:rsidR="000654F3" w:rsidRPr="000654F3" w:rsidRDefault="000654F3" w:rsidP="000654F3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654F3">
        <w:rPr>
          <w:rFonts w:ascii="Arial" w:hAnsi="Arial"/>
          <w:color w:val="000000" w:themeColor="text1"/>
          <w:sz w:val="22"/>
          <w:szCs w:val="22"/>
        </w:rPr>
        <w:t xml:space="preserve">Zařízení Portenta H7 je nyní možné objednat od společnosti </w:t>
      </w:r>
      <w:hyperlink r:id="rId9" w:history="1">
        <w:r w:rsidRPr="000654F3">
          <w:rPr>
            <w:rStyle w:val="Hyperlink"/>
            <w:rFonts w:ascii="Arial" w:hAnsi="Arial"/>
            <w:sz w:val="22"/>
            <w:szCs w:val="22"/>
          </w:rPr>
          <w:t>Farnell</w:t>
        </w:r>
      </w:hyperlink>
      <w:r w:rsidRPr="000654F3">
        <w:rPr>
          <w:rFonts w:ascii="Arial" w:hAnsi="Arial"/>
          <w:color w:val="000000" w:themeColor="text1"/>
          <w:sz w:val="22"/>
          <w:szCs w:val="22"/>
        </w:rPr>
        <w:t xml:space="preserve"> v oblasti EMEA, od společnosti </w:t>
      </w:r>
      <w:hyperlink r:id="rId10" w:history="1">
        <w:r w:rsidRPr="000654F3">
          <w:rPr>
            <w:rStyle w:val="Hyperlink"/>
            <w:rFonts w:ascii="Arial" w:hAnsi="Arial"/>
            <w:sz w:val="22"/>
            <w:szCs w:val="22"/>
          </w:rPr>
          <w:t>Newark</w:t>
        </w:r>
      </w:hyperlink>
      <w:r w:rsidRPr="000654F3">
        <w:rPr>
          <w:rFonts w:ascii="Arial" w:hAnsi="Arial"/>
          <w:color w:val="000000" w:themeColor="text1"/>
          <w:sz w:val="22"/>
          <w:szCs w:val="22"/>
        </w:rPr>
        <w:t xml:space="preserve"> v Severní Americe a od společnosti </w:t>
      </w:r>
      <w:hyperlink r:id="rId11" w:history="1">
        <w:r w:rsidRPr="000654F3">
          <w:rPr>
            <w:rStyle w:val="Hyperlink"/>
            <w:rFonts w:ascii="Arial" w:hAnsi="Arial"/>
            <w:sz w:val="22"/>
            <w:szCs w:val="22"/>
          </w:rPr>
          <w:t>element14</w:t>
        </w:r>
      </w:hyperlink>
      <w:r w:rsidRPr="000654F3">
        <w:rPr>
          <w:rFonts w:ascii="Arial" w:hAnsi="Arial"/>
          <w:color w:val="000000" w:themeColor="text1"/>
          <w:sz w:val="22"/>
          <w:szCs w:val="22"/>
        </w:rPr>
        <w:t xml:space="preserve"> v oblasti APAC.</w:t>
      </w:r>
    </w:p>
    <w:p w:rsidR="000654F3" w:rsidRPr="000654F3" w:rsidRDefault="000654F3" w:rsidP="000654F3">
      <w:pPr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</w:pPr>
    </w:p>
    <w:p w:rsidR="000654F3" w:rsidRPr="000654F3" w:rsidRDefault="000654F3" w:rsidP="000654F3">
      <w:pPr>
        <w:widowControl w:val="0"/>
        <w:rPr>
          <w:rFonts w:ascii="Arial" w:hAnsi="Arial"/>
          <w:b/>
          <w:color w:val="auto"/>
          <w:sz w:val="22"/>
          <w:szCs w:val="22"/>
        </w:rPr>
      </w:pPr>
    </w:p>
    <w:p w:rsidR="000654F3" w:rsidRPr="000654F3" w:rsidRDefault="000654F3" w:rsidP="000654F3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0654F3">
        <w:rPr>
          <w:rFonts w:ascii="Arial" w:hAnsi="Arial" w:cs="Arial"/>
          <w:b/>
          <w:bCs/>
          <w:sz w:val="22"/>
          <w:szCs w:val="22"/>
        </w:rPr>
        <w:t>**Konec**</w:t>
      </w:r>
    </w:p>
    <w:p w:rsidR="000654F3" w:rsidRPr="000654F3" w:rsidRDefault="000654F3" w:rsidP="000654F3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</w:p>
    <w:p w:rsidR="000654F3" w:rsidRPr="000654F3" w:rsidRDefault="000654F3" w:rsidP="000654F3">
      <w:pPr>
        <w:spacing w:line="276" w:lineRule="auto"/>
        <w:rPr>
          <w:rFonts w:ascii="Arial" w:hAnsi="Arial" w:cs="Arial"/>
          <w:sz w:val="22"/>
          <w:szCs w:val="22"/>
        </w:rPr>
      </w:pPr>
    </w:p>
    <w:p w:rsidR="000654F3" w:rsidRPr="000654F3" w:rsidRDefault="000654F3" w:rsidP="000654F3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0654F3">
        <w:rPr>
          <w:rFonts w:ascii="Arial" w:hAnsi="Arial" w:cs="Arial"/>
          <w:b/>
          <w:sz w:val="20"/>
          <w:szCs w:val="20"/>
          <w:u w:val="single"/>
        </w:rPr>
        <w:t>Poznámky pro editory</w:t>
      </w:r>
    </w:p>
    <w:p w:rsidR="000654F3" w:rsidRPr="000654F3" w:rsidRDefault="000654F3" w:rsidP="000654F3">
      <w:pPr>
        <w:spacing w:line="276" w:lineRule="auto"/>
        <w:rPr>
          <w:rFonts w:ascii="Arial" w:hAnsi="Arial" w:cs="Arial"/>
          <w:sz w:val="20"/>
          <w:szCs w:val="20"/>
        </w:rPr>
      </w:pPr>
    </w:p>
    <w:p w:rsidR="000654F3" w:rsidRPr="000654F3" w:rsidRDefault="000654F3" w:rsidP="000654F3">
      <w:pPr>
        <w:spacing w:line="276" w:lineRule="auto"/>
        <w:rPr>
          <w:rFonts w:ascii="Arial" w:hAnsi="Arial" w:cs="Arial"/>
          <w:sz w:val="20"/>
          <w:szCs w:val="20"/>
        </w:rPr>
      </w:pPr>
      <w:r w:rsidRPr="000654F3">
        <w:rPr>
          <w:rFonts w:ascii="Arial" w:hAnsi="Arial" w:cs="Arial"/>
          <w:sz w:val="20"/>
          <w:szCs w:val="20"/>
        </w:rPr>
        <w:t xml:space="preserve">Další informace a podpůrné snímky týkající se této tiskové zprávy najdete v naší redakci: </w:t>
      </w:r>
      <w:hyperlink r:id="rId12" w:history="1">
        <w:r w:rsidRPr="000654F3">
          <w:rPr>
            <w:rStyle w:val="Hyperlink"/>
            <w:rFonts w:ascii="Arial" w:hAnsi="Arial" w:cs="Arial"/>
            <w:sz w:val="20"/>
            <w:szCs w:val="20"/>
          </w:rPr>
          <w:t>www.element14.com/news</w:t>
        </w:r>
      </w:hyperlink>
    </w:p>
    <w:p w:rsidR="000654F3" w:rsidRPr="000654F3" w:rsidRDefault="000654F3" w:rsidP="000654F3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654F3" w:rsidRPr="000654F3" w:rsidRDefault="000654F3" w:rsidP="000654F3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:rsidR="000654F3" w:rsidRPr="000654F3" w:rsidRDefault="000654F3" w:rsidP="000654F3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0654F3">
        <w:rPr>
          <w:rFonts w:ascii="Arial" w:hAnsi="Arial" w:cs="Arial"/>
          <w:b/>
          <w:bCs/>
          <w:sz w:val="20"/>
          <w:szCs w:val="20"/>
        </w:rPr>
        <w:t>O nás</w:t>
      </w:r>
    </w:p>
    <w:p w:rsidR="000654F3" w:rsidRPr="000654F3" w:rsidRDefault="000654F3" w:rsidP="000654F3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  <w:u w:val="single"/>
        </w:rPr>
      </w:pPr>
    </w:p>
    <w:p w:rsidR="000654F3" w:rsidRPr="000654F3" w:rsidRDefault="000654F3" w:rsidP="000654F3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hyperlink r:id="rId13" w:history="1">
        <w:r w:rsidRPr="000654F3">
          <w:rPr>
            <w:rStyle w:val="Hyperlink"/>
            <w:rFonts w:ascii="Arial" w:hAnsi="Arial" w:cs="Arial"/>
            <w:sz w:val="20"/>
            <w:szCs w:val="20"/>
          </w:rPr>
          <w:t xml:space="preserve">Farnell </w:t>
        </w:r>
      </w:hyperlink>
      <w:r w:rsidRPr="000654F3">
        <w:rPr>
          <w:rFonts w:ascii="Arial" w:hAnsi="Arial" w:cs="Arial"/>
          <w:sz w:val="20"/>
          <w:szCs w:val="20"/>
        </w:rPr>
        <w:t xml:space="preserve">která je již více než 80 let globálním technologickým lídrem na poli prémiové distribuce technologických produktů a řešení pro navrhování, produkci, údržbu a opravu elektronických systémů. Skupina Farnell využívá těchto zkušeností k podpoře své zákaznické základny od kutilů po inženýry a od zákazníků po servisní techniky. Jako distributor pro vývoj spolupracujeme s předními značkami i start-upy na vývoji nových produktů pro trh a podporujeme odvětví v rozvoji stávajících inženýrů i inženýrů další generace. </w:t>
      </w:r>
    </w:p>
    <w:p w:rsidR="000654F3" w:rsidRPr="000654F3" w:rsidRDefault="000654F3" w:rsidP="000654F3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0654F3" w:rsidRPr="000654F3" w:rsidRDefault="000654F3" w:rsidP="000654F3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0654F3">
        <w:rPr>
          <w:rFonts w:ascii="Arial" w:hAnsi="Arial" w:cs="Arial"/>
          <w:sz w:val="20"/>
          <w:szCs w:val="20"/>
        </w:rPr>
        <w:t xml:space="preserve">Společnost </w:t>
      </w:r>
      <w:r w:rsidRPr="000654F3">
        <w:rPr>
          <w:rFonts w:ascii="Arial" w:hAnsi="Arial" w:cs="Arial"/>
          <w:sz w:val="20"/>
          <w:szCs w:val="20"/>
          <w:shd w:val="clear" w:color="auto" w:fill="FFFFFF"/>
        </w:rPr>
        <w:t xml:space="preserve">Farnell </w:t>
      </w:r>
      <w:r w:rsidRPr="000654F3">
        <w:rPr>
          <w:rFonts w:ascii="Arial" w:hAnsi="Arial" w:cs="Arial"/>
          <w:sz w:val="20"/>
          <w:szCs w:val="20"/>
        </w:rPr>
        <w:t>v Evropě obchoduje jako </w:t>
      </w:r>
      <w:hyperlink r:id="rId14" w:history="1">
        <w:r w:rsidRPr="000654F3">
          <w:rPr>
            <w:rStyle w:val="Hyperlink"/>
            <w:rFonts w:ascii="Arial" w:hAnsi="Arial" w:cs="Arial"/>
            <w:sz w:val="20"/>
            <w:szCs w:val="20"/>
          </w:rPr>
          <w:t>Farnell</w:t>
        </w:r>
      </w:hyperlink>
      <w:r w:rsidRPr="000654F3">
        <w:rPr>
          <w:rFonts w:ascii="Arial" w:hAnsi="Arial" w:cs="Arial"/>
          <w:sz w:val="20"/>
          <w:szCs w:val="20"/>
        </w:rPr>
        <w:t xml:space="preserve">, v Severní Americe jako </w:t>
      </w:r>
      <w:hyperlink r:id="rId15" w:history="1">
        <w:r w:rsidRPr="000654F3">
          <w:rPr>
            <w:rStyle w:val="Hyperlink"/>
            <w:rFonts w:ascii="Arial" w:hAnsi="Arial" w:cs="Arial"/>
            <w:sz w:val="20"/>
            <w:szCs w:val="20"/>
          </w:rPr>
          <w:t>Newark</w:t>
        </w:r>
      </w:hyperlink>
      <w:r w:rsidRPr="000654F3">
        <w:rPr>
          <w:rFonts w:ascii="Arial" w:hAnsi="Arial" w:cs="Arial"/>
          <w:sz w:val="20"/>
          <w:szCs w:val="20"/>
        </w:rPr>
        <w:t xml:space="preserve"> a napříč Asií a Oceánií jako </w:t>
      </w:r>
      <w:hyperlink r:id="rId16" w:history="1">
        <w:r w:rsidRPr="000654F3">
          <w:rPr>
            <w:rStyle w:val="Hyperlink"/>
            <w:rFonts w:ascii="Arial" w:hAnsi="Arial" w:cs="Arial"/>
            <w:sz w:val="20"/>
            <w:szCs w:val="20"/>
          </w:rPr>
          <w:t>element14</w:t>
        </w:r>
      </w:hyperlink>
      <w:r w:rsidRPr="000654F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0654F3">
        <w:rPr>
          <w:rFonts w:ascii="Arial" w:hAnsi="Arial" w:cs="Arial"/>
          <w:sz w:val="20"/>
          <w:szCs w:val="20"/>
        </w:rPr>
        <w:t xml:space="preserve"> Skupina Farnell ve Velké Británii prodává přímo koncovým zákazníkům prostřednictvím obchodníků a své firmy </w:t>
      </w:r>
      <w:hyperlink r:id="rId17" w:history="1">
        <w:r w:rsidRPr="000654F3">
          <w:rPr>
            <w:rStyle w:val="Hyperlink"/>
            <w:rFonts w:ascii="Arial" w:hAnsi="Arial" w:cs="Arial"/>
            <w:sz w:val="20"/>
            <w:szCs w:val="20"/>
          </w:rPr>
          <w:t>CPC</w:t>
        </w:r>
      </w:hyperlink>
      <w:r w:rsidRPr="000654F3">
        <w:rPr>
          <w:rFonts w:ascii="Arial" w:hAnsi="Arial" w:cs="Arial"/>
          <w:sz w:val="20"/>
          <w:szCs w:val="20"/>
        </w:rPr>
        <w:t>.</w:t>
      </w:r>
    </w:p>
    <w:p w:rsidR="000654F3" w:rsidRPr="000654F3" w:rsidRDefault="000654F3" w:rsidP="000654F3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0654F3" w:rsidRPr="000654F3" w:rsidRDefault="000654F3" w:rsidP="000654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654F3">
        <w:rPr>
          <w:rFonts w:ascii="Arial" w:hAnsi="Arial" w:cs="Arial"/>
          <w:sz w:val="20"/>
          <w:szCs w:val="20"/>
        </w:rPr>
        <w:t xml:space="preserve">Farnell je obchodní jednotkou společnosti Avnet, Inc. (Nasdaq: </w:t>
      </w:r>
      <w:hyperlink r:id="rId18" w:history="1">
        <w:r w:rsidRPr="000654F3">
          <w:rPr>
            <w:rStyle w:val="Hyperlink"/>
            <w:rFonts w:ascii="Arial" w:hAnsi="Arial" w:cs="Arial"/>
            <w:sz w:val="20"/>
            <w:szCs w:val="20"/>
          </w:rPr>
          <w:t>AVT</w:t>
        </w:r>
      </w:hyperlink>
      <w:r w:rsidRPr="000654F3">
        <w:rPr>
          <w:rFonts w:ascii="Arial" w:hAnsi="Arial" w:cs="Arial"/>
          <w:sz w:val="20"/>
          <w:szCs w:val="20"/>
        </w:rPr>
        <w:t xml:space="preserve">). Společnost Avnet je globální poskytovatel technologických řešení se širokým ekosystémem, prostřednictvím něhož zákazníkům ve </w:t>
      </w:r>
      <w:r w:rsidRPr="000654F3">
        <w:rPr>
          <w:rFonts w:ascii="Arial" w:hAnsi="Arial" w:cs="Arial"/>
          <w:sz w:val="20"/>
          <w:szCs w:val="20"/>
        </w:rPr>
        <w:lastRenderedPageBreak/>
        <w:t xml:space="preserve">všech fázích životního cyklu produktů nabízí odborný servis pro návrh, produkty, marketing a dodavatelský řetězec. </w:t>
      </w:r>
    </w:p>
    <w:p w:rsidR="000654F3" w:rsidRPr="000654F3" w:rsidRDefault="000654F3" w:rsidP="000654F3">
      <w:pPr>
        <w:spacing w:line="276" w:lineRule="auto"/>
        <w:ind w:right="-1"/>
        <w:rPr>
          <w:rFonts w:ascii="Arial" w:hAnsi="Arial" w:cs="Arial"/>
          <w:sz w:val="20"/>
          <w:szCs w:val="20"/>
          <w:shd w:val="clear" w:color="auto" w:fill="FFFFFF"/>
        </w:rPr>
      </w:pPr>
    </w:p>
    <w:p w:rsidR="000654F3" w:rsidRPr="000654F3" w:rsidRDefault="000654F3" w:rsidP="000654F3">
      <w:pPr>
        <w:shd w:val="clear" w:color="auto" w:fill="FFFFFF"/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0654F3">
        <w:rPr>
          <w:rFonts w:ascii="Arial" w:hAnsi="Arial" w:cs="Arial"/>
          <w:sz w:val="20"/>
          <w:szCs w:val="20"/>
        </w:rPr>
        <w:t xml:space="preserve">Více informací se dozvíte na našich webových stránkách </w:t>
      </w:r>
      <w:hyperlink r:id="rId19" w:history="1">
        <w:r w:rsidRPr="000654F3">
          <w:rPr>
            <w:rStyle w:val="Hyperlink"/>
            <w:rFonts w:ascii="Arial" w:hAnsi="Arial" w:cs="Arial"/>
            <w:sz w:val="20"/>
            <w:szCs w:val="20"/>
          </w:rPr>
          <w:t>http://www.farnell.com/corporate</w:t>
        </w:r>
      </w:hyperlink>
      <w:r w:rsidRPr="000654F3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0654F3">
        <w:rPr>
          <w:rFonts w:ascii="Arial" w:hAnsi="Arial" w:cs="Arial"/>
          <w:sz w:val="20"/>
          <w:szCs w:val="20"/>
        </w:rPr>
        <w:t xml:space="preserve">a </w:t>
      </w:r>
      <w:hyperlink r:id="rId20" w:history="1">
        <w:r w:rsidRPr="000654F3">
          <w:rPr>
            <w:rStyle w:val="Hyperlink"/>
            <w:rFonts w:ascii="Arial" w:hAnsi="Arial" w:cs="Arial"/>
            <w:sz w:val="20"/>
            <w:szCs w:val="20"/>
          </w:rPr>
          <w:t>https://www.avnet.com</w:t>
        </w:r>
      </w:hyperlink>
      <w:r w:rsidRPr="000654F3">
        <w:rPr>
          <w:rFonts w:ascii="Arial" w:hAnsi="Arial" w:cs="Arial"/>
          <w:sz w:val="20"/>
          <w:szCs w:val="20"/>
        </w:rPr>
        <w:t xml:space="preserve">. </w:t>
      </w:r>
    </w:p>
    <w:p w:rsidR="000654F3" w:rsidRPr="000654F3" w:rsidRDefault="000654F3" w:rsidP="000654F3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:rsidR="000654F3" w:rsidRPr="000654F3" w:rsidRDefault="000654F3" w:rsidP="000654F3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:rsidR="000654F3" w:rsidRPr="000654F3" w:rsidRDefault="000654F3" w:rsidP="000654F3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0654F3">
        <w:rPr>
          <w:rFonts w:ascii="Arial" w:hAnsi="Arial" w:cs="Arial"/>
          <w:b/>
          <w:bCs/>
          <w:sz w:val="20"/>
          <w:szCs w:val="20"/>
        </w:rPr>
        <w:t>Napier Partnership:</w:t>
      </w:r>
      <w:r w:rsidRPr="000654F3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654F3" w:rsidRPr="000654F3" w:rsidRDefault="000654F3" w:rsidP="000654F3">
      <w:pPr>
        <w:ind w:right="-1"/>
        <w:rPr>
          <w:rFonts w:ascii="Arial" w:hAnsi="Arial" w:cs="Arial"/>
          <w:b/>
          <w:bCs/>
          <w:sz w:val="20"/>
          <w:szCs w:val="20"/>
          <w:lang w:val="en-US"/>
        </w:rPr>
      </w:pPr>
      <w:r w:rsidRPr="000654F3">
        <w:rPr>
          <w:rFonts w:ascii="Arial" w:hAnsi="Arial" w:cs="Arial"/>
          <w:b/>
          <w:bCs/>
          <w:sz w:val="20"/>
          <w:szCs w:val="20"/>
          <w:lang w:val="en-US"/>
        </w:rPr>
        <w:t>Rhianna Bull</w:t>
      </w:r>
    </w:p>
    <w:p w:rsidR="000654F3" w:rsidRPr="000654F3" w:rsidRDefault="000654F3" w:rsidP="000654F3">
      <w:pPr>
        <w:ind w:right="-1"/>
        <w:rPr>
          <w:rFonts w:ascii="Arial" w:hAnsi="Arial" w:cs="Arial"/>
          <w:bCs/>
          <w:sz w:val="20"/>
          <w:szCs w:val="20"/>
        </w:rPr>
      </w:pPr>
      <w:r w:rsidRPr="000654F3">
        <w:rPr>
          <w:rFonts w:ascii="Arial" w:hAnsi="Arial" w:cs="Arial"/>
          <w:bCs/>
          <w:sz w:val="20"/>
          <w:szCs w:val="20"/>
        </w:rPr>
        <w:t>Tel: +44 1243 520924</w:t>
      </w:r>
    </w:p>
    <w:p w:rsidR="000654F3" w:rsidRPr="000654F3" w:rsidRDefault="000654F3" w:rsidP="000654F3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0654F3">
        <w:rPr>
          <w:rFonts w:ascii="Arial" w:hAnsi="Arial" w:cs="Arial"/>
          <w:bCs/>
          <w:sz w:val="20"/>
          <w:szCs w:val="20"/>
        </w:rPr>
        <w:t xml:space="preserve">Email: </w:t>
      </w:r>
      <w:hyperlink r:id="rId21" w:history="1">
        <w:r w:rsidRPr="000654F3">
          <w:rPr>
            <w:rStyle w:val="Hyperlink"/>
            <w:rFonts w:ascii="Arial" w:hAnsi="Arial" w:cs="Arial"/>
            <w:sz w:val="20"/>
            <w:szCs w:val="20"/>
          </w:rPr>
          <w:t>rhianna@napierb2b.com</w:t>
        </w:r>
      </w:hyperlink>
    </w:p>
    <w:p w:rsidR="000654F3" w:rsidRPr="000654F3" w:rsidRDefault="000654F3" w:rsidP="000654F3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0654F3">
        <w:rPr>
          <w:rStyle w:val="Hyperlink"/>
          <w:rFonts w:ascii="Arial" w:hAnsi="Arial" w:cs="Arial"/>
          <w:sz w:val="20"/>
          <w:szCs w:val="20"/>
        </w:rPr>
        <w:t>www.napierb2b.com</w:t>
      </w:r>
    </w:p>
    <w:p w:rsidR="000654F3" w:rsidRPr="000654F3" w:rsidRDefault="000654F3" w:rsidP="000654F3">
      <w:pPr>
        <w:ind w:right="-1"/>
        <w:rPr>
          <w:rFonts w:ascii="Arial" w:hAnsi="Arial" w:cs="Arial"/>
          <w:b/>
          <w:bCs/>
          <w:sz w:val="20"/>
          <w:szCs w:val="20"/>
        </w:rPr>
      </w:pPr>
    </w:p>
    <w:p w:rsidR="000654F3" w:rsidRPr="000654F3" w:rsidRDefault="000654F3" w:rsidP="000654F3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0654F3">
        <w:rPr>
          <w:rFonts w:ascii="Arial" w:hAnsi="Arial" w:cs="Arial"/>
          <w:b/>
          <w:bCs/>
          <w:sz w:val="20"/>
          <w:szCs w:val="20"/>
        </w:rPr>
        <w:t>Farnell:</w:t>
      </w:r>
    </w:p>
    <w:p w:rsidR="000654F3" w:rsidRPr="000654F3" w:rsidRDefault="000654F3" w:rsidP="000654F3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0654F3">
        <w:rPr>
          <w:rFonts w:ascii="Arial" w:hAnsi="Arial" w:cs="Arial"/>
          <w:b/>
          <w:bCs/>
          <w:sz w:val="20"/>
          <w:szCs w:val="20"/>
        </w:rPr>
        <w:t>Holly Smart</w:t>
      </w:r>
    </w:p>
    <w:p w:rsidR="000654F3" w:rsidRPr="000654F3" w:rsidRDefault="000654F3" w:rsidP="000654F3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0654F3">
        <w:rPr>
          <w:rFonts w:ascii="Arial" w:hAnsi="Arial" w:cs="Arial"/>
          <w:b/>
          <w:bCs/>
          <w:sz w:val="20"/>
          <w:szCs w:val="20"/>
        </w:rPr>
        <w:t>Head of PR and External Communications</w:t>
      </w:r>
    </w:p>
    <w:p w:rsidR="000654F3" w:rsidRPr="000654F3" w:rsidRDefault="000654F3" w:rsidP="000654F3">
      <w:pPr>
        <w:ind w:right="-1"/>
        <w:rPr>
          <w:rFonts w:ascii="Arial" w:hAnsi="Arial" w:cs="Arial"/>
          <w:bCs/>
          <w:sz w:val="20"/>
          <w:szCs w:val="20"/>
        </w:rPr>
      </w:pPr>
      <w:r w:rsidRPr="000654F3">
        <w:rPr>
          <w:rFonts w:ascii="Arial" w:hAnsi="Arial" w:cs="Arial"/>
          <w:bCs/>
          <w:sz w:val="20"/>
          <w:szCs w:val="20"/>
        </w:rPr>
        <w:t>Tel: +44 113 2485188</w:t>
      </w:r>
    </w:p>
    <w:p w:rsidR="000654F3" w:rsidRPr="000654F3" w:rsidRDefault="000654F3" w:rsidP="000654F3">
      <w:pPr>
        <w:ind w:right="-1"/>
        <w:rPr>
          <w:rFonts w:ascii="Arial" w:hAnsi="Arial" w:cs="Arial"/>
          <w:sz w:val="20"/>
          <w:szCs w:val="20"/>
          <w:u w:val="single"/>
        </w:rPr>
      </w:pPr>
      <w:r w:rsidRPr="000654F3">
        <w:rPr>
          <w:rFonts w:ascii="Arial" w:hAnsi="Arial" w:cs="Arial"/>
          <w:bCs/>
          <w:sz w:val="20"/>
          <w:szCs w:val="20"/>
        </w:rPr>
        <w:t>E-mail:</w:t>
      </w:r>
      <w:r w:rsidRPr="000654F3">
        <w:rPr>
          <w:rFonts w:ascii="Arial" w:hAnsi="Arial" w:cs="Arial"/>
          <w:b/>
          <w:bCs/>
          <w:sz w:val="20"/>
          <w:szCs w:val="20"/>
        </w:rPr>
        <w:t> </w:t>
      </w:r>
      <w:hyperlink r:id="rId22" w:history="1">
        <w:r w:rsidRPr="000654F3">
          <w:rPr>
            <w:rStyle w:val="Hyperlink"/>
            <w:rFonts w:ascii="Arial" w:hAnsi="Arial" w:cs="Arial"/>
            <w:sz w:val="20"/>
            <w:szCs w:val="20"/>
          </w:rPr>
          <w:t>hsmart@farnell.com</w:t>
        </w:r>
      </w:hyperlink>
      <w:r w:rsidRPr="000654F3">
        <w:rPr>
          <w:rFonts w:ascii="Arial" w:hAnsi="Arial" w:cs="Arial"/>
          <w:bCs/>
          <w:sz w:val="20"/>
          <w:szCs w:val="20"/>
        </w:rPr>
        <w:t xml:space="preserve">  </w:t>
      </w:r>
    </w:p>
    <w:p w:rsidR="000654F3" w:rsidRPr="000654F3" w:rsidRDefault="000654F3" w:rsidP="000654F3">
      <w:pPr>
        <w:ind w:right="-1"/>
        <w:rPr>
          <w:rFonts w:ascii="Arial" w:hAnsi="Arial" w:cs="Arial"/>
          <w:sz w:val="20"/>
          <w:szCs w:val="20"/>
        </w:rPr>
      </w:pPr>
    </w:p>
    <w:p w:rsidR="000654F3" w:rsidRPr="000654F3" w:rsidRDefault="000654F3" w:rsidP="000654F3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0654F3">
        <w:rPr>
          <w:rFonts w:ascii="Arial" w:hAnsi="Arial" w:cs="Arial"/>
          <w:b/>
          <w:bCs/>
          <w:sz w:val="20"/>
          <w:szCs w:val="20"/>
        </w:rPr>
        <w:t>Lewis Spencer-Witcomb</w:t>
      </w:r>
    </w:p>
    <w:p w:rsidR="000654F3" w:rsidRPr="000654F3" w:rsidRDefault="000654F3" w:rsidP="000654F3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0654F3">
        <w:rPr>
          <w:rFonts w:ascii="Arial" w:hAnsi="Arial" w:cs="Arial"/>
          <w:b/>
          <w:bCs/>
          <w:sz w:val="20"/>
          <w:szCs w:val="20"/>
        </w:rPr>
        <w:t>PR Executive</w:t>
      </w:r>
    </w:p>
    <w:p w:rsidR="000654F3" w:rsidRPr="000654F3" w:rsidRDefault="000654F3" w:rsidP="000654F3">
      <w:pPr>
        <w:ind w:right="-1"/>
        <w:rPr>
          <w:rFonts w:ascii="Arial" w:hAnsi="Arial" w:cs="Arial"/>
          <w:bCs/>
          <w:sz w:val="20"/>
          <w:szCs w:val="20"/>
        </w:rPr>
      </w:pPr>
      <w:r w:rsidRPr="000654F3">
        <w:rPr>
          <w:rFonts w:ascii="Arial" w:hAnsi="Arial" w:cs="Arial"/>
          <w:bCs/>
          <w:sz w:val="20"/>
          <w:szCs w:val="20"/>
        </w:rPr>
        <w:t>Tel: +44 113 348 4756</w:t>
      </w:r>
    </w:p>
    <w:p w:rsidR="000654F3" w:rsidRPr="00415838" w:rsidRDefault="000654F3" w:rsidP="000654F3">
      <w:pPr>
        <w:ind w:right="-1"/>
        <w:rPr>
          <w:rFonts w:ascii="Arial" w:hAnsi="Arial" w:cs="Arial"/>
          <w:sz w:val="20"/>
          <w:szCs w:val="20"/>
          <w:u w:val="single"/>
        </w:rPr>
      </w:pPr>
      <w:r w:rsidRPr="000654F3">
        <w:rPr>
          <w:rFonts w:ascii="Arial" w:hAnsi="Arial" w:cs="Arial"/>
          <w:bCs/>
          <w:sz w:val="20"/>
          <w:szCs w:val="20"/>
        </w:rPr>
        <w:t>E-mail: </w:t>
      </w:r>
      <w:hyperlink r:id="rId23" w:history="1">
        <w:r w:rsidRPr="000654F3">
          <w:rPr>
            <w:rStyle w:val="Hyperlink"/>
            <w:rFonts w:ascii="Arial" w:hAnsi="Arial" w:cs="Arial"/>
            <w:bCs/>
            <w:sz w:val="20"/>
            <w:szCs w:val="20"/>
          </w:rPr>
          <w:t>lspencer-witcomb@farnell.com</w:t>
        </w:r>
      </w:hyperlink>
    </w:p>
    <w:p w:rsidR="000654F3" w:rsidRDefault="000654F3" w:rsidP="000654F3">
      <w:pPr>
        <w:rPr>
          <w:sz w:val="20"/>
          <w:szCs w:val="20"/>
        </w:rPr>
      </w:pPr>
    </w:p>
    <w:p w:rsidR="000654F3" w:rsidRDefault="000654F3" w:rsidP="000654F3">
      <w:pPr>
        <w:rPr>
          <w:sz w:val="20"/>
          <w:szCs w:val="20"/>
        </w:rPr>
      </w:pPr>
    </w:p>
    <w:p w:rsidR="000654F3" w:rsidRDefault="000654F3" w:rsidP="000654F3">
      <w:pPr>
        <w:rPr>
          <w:sz w:val="20"/>
          <w:szCs w:val="20"/>
        </w:rPr>
      </w:pPr>
    </w:p>
    <w:p w:rsidR="000654F3" w:rsidRDefault="000654F3" w:rsidP="000654F3">
      <w:pPr>
        <w:rPr>
          <w:sz w:val="20"/>
          <w:szCs w:val="20"/>
        </w:rPr>
      </w:pPr>
    </w:p>
    <w:p w:rsidR="000654F3" w:rsidRDefault="000654F3" w:rsidP="000654F3">
      <w:pPr>
        <w:rPr>
          <w:sz w:val="20"/>
          <w:szCs w:val="20"/>
        </w:rPr>
      </w:pPr>
    </w:p>
    <w:p w:rsidR="000654F3" w:rsidRDefault="000654F3" w:rsidP="000654F3">
      <w:pPr>
        <w:rPr>
          <w:sz w:val="20"/>
          <w:szCs w:val="20"/>
        </w:rPr>
      </w:pPr>
    </w:p>
    <w:p w:rsidR="000654F3" w:rsidRPr="00415838" w:rsidRDefault="000654F3" w:rsidP="000654F3">
      <w:pPr>
        <w:rPr>
          <w:sz w:val="20"/>
          <w:szCs w:val="20"/>
        </w:rPr>
      </w:pPr>
    </w:p>
    <w:p w:rsidR="00DE4CAE" w:rsidRDefault="00DE4CAE"/>
    <w:sectPr w:rsidR="00DE4CAE" w:rsidSect="00EF717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1440" w:right="1127" w:bottom="1440" w:left="1276" w:header="709" w:footer="22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F3" w:rsidRDefault="000654F3" w:rsidP="000654F3">
      <w:r>
        <w:separator/>
      </w:r>
    </w:p>
  </w:endnote>
  <w:endnote w:type="continuationSeparator" w:id="0">
    <w:p w:rsidR="000654F3" w:rsidRDefault="000654F3" w:rsidP="0006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ib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0654F3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22"/>
        <w:szCs w:val="22"/>
      </w:rPr>
      <w:t>FAR300en</w:t>
    </w:r>
    <w:bookmarkStart w:id="1" w:name="XILINX1FooterEvenPages"/>
  </w:p>
  <w:p w:rsidR="00844F2C" w:rsidRDefault="000654F3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1"/>
  <w:p w:rsidR="00844F2C" w:rsidRDefault="000654F3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7F" w:rsidRPr="00757936" w:rsidRDefault="000654F3" w:rsidP="00EF717F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bookmarkStart w:id="2" w:name="XILINX1FooterPrimary"/>
    <w:r>
      <w:rPr>
        <w:rFonts w:ascii="Arial" w:hAnsi="Arial" w:cs="Arial"/>
        <w:sz w:val="20"/>
        <w:szCs w:val="20"/>
      </w:rPr>
      <w:t>FAR529</w:t>
    </w:r>
    <w:r w:rsidRPr="00757936">
      <w:rPr>
        <w:rFonts w:ascii="Arial" w:hAnsi="Arial" w:cs="Arial"/>
        <w:sz w:val="20"/>
        <w:szCs w:val="20"/>
      </w:rPr>
      <w:t>cz</w:t>
    </w:r>
  </w:p>
  <w:p w:rsidR="00844F2C" w:rsidRDefault="000654F3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2"/>
  <w:p w:rsidR="00844F2C" w:rsidRDefault="000654F3" w:rsidP="00981FA2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Pr="00757936" w:rsidRDefault="000654F3" w:rsidP="00844F2C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r w:rsidRPr="00757936">
      <w:rPr>
        <w:rFonts w:ascii="Arial" w:hAnsi="Arial" w:cs="Arial"/>
        <w:sz w:val="20"/>
        <w:szCs w:val="20"/>
      </w:rPr>
      <w:t>FAR306</w:t>
    </w:r>
    <w:bookmarkStart w:id="3" w:name="XILINX1FooterFirstPage"/>
    <w:r w:rsidRPr="00757936">
      <w:rPr>
        <w:rFonts w:ascii="Arial" w:hAnsi="Arial" w:cs="Arial"/>
        <w:sz w:val="20"/>
        <w:szCs w:val="20"/>
      </w:rPr>
      <w:t>cz</w:t>
    </w:r>
  </w:p>
  <w:p w:rsidR="00844F2C" w:rsidRDefault="000654F3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3"/>
  <w:p w:rsidR="00844F2C" w:rsidRDefault="000654F3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F3" w:rsidRDefault="000654F3" w:rsidP="000654F3">
      <w:r>
        <w:separator/>
      </w:r>
    </w:p>
  </w:footnote>
  <w:footnote w:type="continuationSeparator" w:id="0">
    <w:p w:rsidR="000654F3" w:rsidRDefault="000654F3" w:rsidP="00065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0654F3" w:rsidP="00844F2C">
    <w:pPr>
      <w:tabs>
        <w:tab w:val="left" w:pos="4905"/>
      </w:tabs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D649345" wp14:editId="7672B367">
          <wp:simplePos x="0" y="0"/>
          <wp:positionH relativeFrom="column">
            <wp:posOffset>1964055</wp:posOffset>
          </wp:positionH>
          <wp:positionV relativeFrom="paragraph">
            <wp:posOffset>16510</wp:posOffset>
          </wp:positionV>
          <wp:extent cx="1885950" cy="321945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959617E" wp14:editId="64FDE7FA">
          <wp:simplePos x="0" y="0"/>
          <wp:positionH relativeFrom="column">
            <wp:posOffset>4250055</wp:posOffset>
          </wp:positionH>
          <wp:positionV relativeFrom="paragraph">
            <wp:posOffset>84455</wp:posOffset>
          </wp:positionV>
          <wp:extent cx="1914525" cy="185420"/>
          <wp:effectExtent l="0" t="0" r="9525" b="5080"/>
          <wp:wrapNone/>
          <wp:docPr id="8" name="Picture 8" descr="https://www.forthings.io/wps/portal/eu/!ut/p/z1/04_Sj9CPykssy0xPLMnMz0vMAfIjo8zifRwtXT0cDYx83H0CTA0czY39DD2djY0NvI31w_Wj9KOASgxwAEcD_eDUvHhPV_2C7LxyAIcR8wY!/cs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forthings.io/wps/portal/eu/!ut/p/z1/04_Sj9CPykssy0xPLMnMz0vMAfIjo8zifRwtXT0cDYx83H0CTA0czY39DD2djY0NvI31w_Wj9KOASgxwAEcD_eDUvHhPV_2C7LxyAIcR8wY!/css/images/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hidden="0" allowOverlap="1" wp14:anchorId="7BB94D6A" wp14:editId="0EDBD56B">
          <wp:simplePos x="0" y="0"/>
          <wp:positionH relativeFrom="margin">
            <wp:posOffset>1905</wp:posOffset>
          </wp:positionH>
          <wp:positionV relativeFrom="paragraph">
            <wp:posOffset>13970</wp:posOffset>
          </wp:positionV>
          <wp:extent cx="1400175" cy="321945"/>
          <wp:effectExtent l="0" t="0" r="9525" b="1905"/>
          <wp:wrapSquare wrapText="bothSides" distT="0" distB="0" distL="114300" distR="114300"/>
          <wp:docPr id="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321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4F2C" w:rsidRDefault="000654F3" w:rsidP="00844F2C">
    <w:pPr>
      <w:tabs>
        <w:tab w:val="left" w:pos="4905"/>
      </w:tabs>
      <w:rPr>
        <w:noProof/>
        <w:lang w:eastAsia="en-GB"/>
      </w:rPr>
    </w:pPr>
  </w:p>
  <w:p w:rsidR="00844F2C" w:rsidRDefault="000654F3" w:rsidP="00844F2C">
    <w:pPr>
      <w:tabs>
        <w:tab w:val="left" w:pos="490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7F" w:rsidRDefault="000654F3" w:rsidP="00EF717F">
    <w:pPr>
      <w:tabs>
        <w:tab w:val="left" w:pos="4905"/>
      </w:tabs>
      <w:rPr>
        <w:noProof/>
      </w:rPr>
    </w:pPr>
    <w:r w:rsidRPr="00C471F3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229731BB" wp14:editId="1D5B8DD4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2" name="Picture 2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020F" w:rsidRDefault="000654F3" w:rsidP="00EF717F">
    <w:pPr>
      <w:pStyle w:val="Header"/>
    </w:pPr>
  </w:p>
  <w:p w:rsidR="000654F3" w:rsidRPr="00EF717F" w:rsidRDefault="000654F3" w:rsidP="00EF71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0654F3" w:rsidP="00844F2C">
    <w:pPr>
      <w:tabs>
        <w:tab w:val="left" w:pos="4905"/>
      </w:tabs>
      <w:rPr>
        <w:noProof/>
      </w:rPr>
    </w:pPr>
    <w:r w:rsidRPr="00C471F3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C5CCF03" wp14:editId="6F7E8D7D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817D2"/>
    <w:multiLevelType w:val="multilevel"/>
    <w:tmpl w:val="1986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B3CB4"/>
    <w:multiLevelType w:val="multilevel"/>
    <w:tmpl w:val="1986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27D07"/>
    <w:multiLevelType w:val="multilevel"/>
    <w:tmpl w:val="8770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F3"/>
    <w:rsid w:val="000654F3"/>
    <w:rsid w:val="00D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44596-1918-47F9-B95F-C99B0EF7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54F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4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654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654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4F3"/>
    <w:rPr>
      <w:rFonts w:ascii="Cambria" w:eastAsia="Cambria" w:hAnsi="Cambria" w:cs="Cambria"/>
      <w:color w:val="000000"/>
      <w:sz w:val="24"/>
      <w:szCs w:val="24"/>
      <w:lang w:val="cs-CZ"/>
    </w:rPr>
  </w:style>
  <w:style w:type="paragraph" w:styleId="ListParagraph">
    <w:name w:val="List Paragraph"/>
    <w:basedOn w:val="Normal"/>
    <w:uiPriority w:val="34"/>
    <w:qFormat/>
    <w:rsid w:val="000654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.farnell.com/b/arduino" TargetMode="External"/><Relationship Id="rId13" Type="http://schemas.openxmlformats.org/officeDocument/2006/relationships/hyperlink" Target="http://farnell.com/" TargetMode="External"/><Relationship Id="rId18" Type="http://schemas.openxmlformats.org/officeDocument/2006/relationships/hyperlink" Target="https://ir.avnet.com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rhianna@napierb2b.com" TargetMode="External"/><Relationship Id="rId7" Type="http://schemas.openxmlformats.org/officeDocument/2006/relationships/hyperlink" Target="http://www.farnell.com/" TargetMode="External"/><Relationship Id="rId12" Type="http://schemas.openxmlformats.org/officeDocument/2006/relationships/hyperlink" Target="http://www.element14.com/news" TargetMode="External"/><Relationship Id="rId17" Type="http://schemas.openxmlformats.org/officeDocument/2006/relationships/hyperlink" Target="http://cpc.farnell.com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sg.element14.com/" TargetMode="External"/><Relationship Id="rId20" Type="http://schemas.openxmlformats.org/officeDocument/2006/relationships/hyperlink" Target="https://www.avnet.com/wps/portal/us/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g.element14.com/arduino/abx00042/portenta-h7-dev-brd-cortex-m4f/dp/3404698?scope=partnumberlookahead&amp;ost=ABX00042&amp;searchref=searchlookahead&amp;exaMfpn=true&amp;ddkey=https%3Aen-SG%2FElement14_Singapore%2Fw%2Fsearch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newark.com/" TargetMode="External"/><Relationship Id="rId23" Type="http://schemas.openxmlformats.org/officeDocument/2006/relationships/hyperlink" Target="mailto:lspencer-witcomb@farnell.com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newark.com/arduino/abx00042/portenta-h7-dev-brd-cortex-m4f/dp/67AH8877?scope=partnumberlookahead&amp;ost=ABX00042&amp;searchref=searchlookahead&amp;exaMfpn=true&amp;ddkey=https%3Aen-US%2FElement14_US%2Fw%2Fsearch" TargetMode="External"/><Relationship Id="rId19" Type="http://schemas.openxmlformats.org/officeDocument/2006/relationships/hyperlink" Target="http://www.farnell.com/corporat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z.farnell.com/arduino/abx00042/portenta-h7-dev-brd-cortex-m4f/dp/3404698?ost=portenta&amp;ddkey=https%3Aen-GB%2FElement14_United_Kingdom%2Fsearch" TargetMode="External"/><Relationship Id="rId14" Type="http://schemas.openxmlformats.org/officeDocument/2006/relationships/hyperlink" Target="http://cz.farnell.com/" TargetMode="External"/><Relationship Id="rId22" Type="http://schemas.openxmlformats.org/officeDocument/2006/relationships/hyperlink" Target="mailto:hsmart@farnell.co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2020-07-20T15:10:00Z</dcterms:created>
  <dcterms:modified xsi:type="dcterms:W3CDTF">2020-07-20T15:11:00Z</dcterms:modified>
</cp:coreProperties>
</file>