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D" w:rsidRDefault="003E63CD" w:rsidP="008700F8">
      <w:pPr>
        <w:spacing w:after="0" w:line="240" w:lineRule="auto"/>
        <w:jc w:val="center"/>
        <w:rPr>
          <w:rFonts w:asciiTheme="minorHAnsi" w:hAnsiTheme="minorHAnsi"/>
          <w:b/>
          <w:sz w:val="28"/>
          <w:szCs w:val="22"/>
        </w:rPr>
      </w:pPr>
    </w:p>
    <w:p w:rsidR="008700F8" w:rsidRPr="006129B7" w:rsidRDefault="008700F8" w:rsidP="008700F8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element14 jest liderem w segmencie układów IoT z samodzielnym zasilaniem dzięki wprowadzeniu nowego zestawu projektowego przełączników opracowanego we współpracy z EnOcean i 3YOURMIND</w:t>
      </w:r>
    </w:p>
    <w:p w:rsidR="008700F8" w:rsidRPr="006129B7" w:rsidRDefault="008700F8" w:rsidP="008700F8">
      <w:pPr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Zestaw umożliwia pierwsze konsumenckie zastosowanie druku 3D i technologii pozyskiwania energii w układach IoT z samodzielnym zasilaniem</w:t>
      </w:r>
    </w:p>
    <w:p w:rsidR="008700F8" w:rsidRDefault="008700F8" w:rsidP="008700F8">
      <w:pPr>
        <w:rPr>
          <w:rFonts w:ascii="Arial" w:hAnsi="Arial" w:cs="Arial"/>
          <w:color w:val="88898D"/>
          <w:sz w:val="15"/>
          <w:szCs w:val="15"/>
        </w:rPr>
      </w:pPr>
    </w:p>
    <w:p w:rsidR="008700F8" w:rsidRDefault="003E63CD" w:rsidP="003E6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3E63CD">
        <w:rPr>
          <w:rFonts w:asciiTheme="minorHAnsi" w:hAnsiTheme="minorHAnsi"/>
          <w:b/>
          <w:color w:val="000000"/>
          <w:sz w:val="22"/>
          <w:szCs w:val="22"/>
        </w:rPr>
        <w:t>27 września 2016</w:t>
      </w:r>
      <w:r w:rsidR="008700F8">
        <w:rPr>
          <w:rFonts w:asciiTheme="minorHAnsi" w:hAnsiTheme="minorHAnsi"/>
          <w:b/>
          <w:color w:val="000000"/>
          <w:sz w:val="22"/>
          <w:szCs w:val="22"/>
        </w:rPr>
        <w:t xml:space="preserve">, LONDYN, </w:t>
      </w:r>
      <w:hyperlink r:id="rId7" w:history="1">
        <w:r w:rsidR="008700F8">
          <w:rPr>
            <w:rStyle w:val="Hyperlink"/>
            <w:rFonts w:asciiTheme="minorHAnsi" w:hAnsiTheme="minorHAnsi"/>
            <w:sz w:val="22"/>
            <w:szCs w:val="22"/>
          </w:rPr>
          <w:t>element14</w:t>
        </w:r>
      </w:hyperlink>
      <w:r w:rsidR="008700F8">
        <w:rPr>
          <w:rFonts w:asciiTheme="minorHAnsi" w:hAnsiTheme="minorHAnsi"/>
          <w:color w:val="000000"/>
          <w:sz w:val="22"/>
          <w:szCs w:val="22"/>
        </w:rPr>
        <w:t xml:space="preserve"> ma teraz w swojej ofercie zestaw projektowy przełączników EnOcean opracowany we współpracy z element14 i 3YOURMIND, portalem online dającym dostęp do profesjonalnych usług druku 3D.  Zestaw pozwala użytkownikom na tworzenie konfigurowalnych przełączników w oparciu o dane projektowe dostarczone przez EnOcean.  </w:t>
      </w:r>
    </w:p>
    <w:p w:rsidR="008700F8" w:rsidRPr="006129B7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8700F8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Zestaw projektowy przełączników EnOcean to elastyczne i niedrogie rozwiązanie gotowe do natychmiastowego użycia w układzie IoT.  Jest ono punktem wyjścia dla rewolucyjnej technologii wykorzystywanej w eksperymentach i tworzeniu prototypów przez nowatorów z branży i środowisko twórców.  </w:t>
      </w:r>
    </w:p>
    <w:p w:rsidR="008700F8" w:rsidRPr="006129B7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8700F8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Projekt wykorzystuje technologię pozyskiwania energii, co likwiduje wiele barier związanych z projektowaniem oraz stosowaniem i pozwala na szybkie wdrożenie koncepcji i technologii.  Technologia pozyskiwania energii wykorzystuje energię pochodzącą z ruchu, światła i temperatury w celu dostarczania energii z otoczenia do czujników i komunikatorów radiowych.  </w:t>
      </w:r>
    </w:p>
    <w:p w:rsidR="008700F8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8700F8" w:rsidRPr="006129B7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Stwarza to ogromne możliwości dla rynku twórców.  Zamiast tworzyć skomplikowane okablowanie wewnątrz konstrukcji, można umieścić urządzenie EnOcean z samodzielnym zasilaniem w istniejącej instalacji.  Zastosowanie przełącznika pozwala na elastyczne sterowanie oświetleniem w miejscach, w których nie ma kabli.  Przełączniki można w łatwy sposób dodawać tam, gdzie jest to potrzebne, np. obok łóżka. Współpraca z 3YOURMIND pozwala na bezproblemową integrację z końcowym projektem, dzięki czemu konstrukcja nie sprawia wrażenia wykonanej ręcznie.</w:t>
      </w:r>
    </w:p>
    <w:p w:rsidR="008700F8" w:rsidRPr="006129B7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8700F8" w:rsidRDefault="008700F8" w:rsidP="008700F8">
      <w:pPr>
        <w:rPr>
          <w:color w:val="1F497D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Zestaw projektowy przełączników EnOcean jest dostępny w ofercie Farnell element14 w </w:t>
      </w:r>
      <w:r w:rsidRPr="00B32AD3">
        <w:rPr>
          <w:rFonts w:asciiTheme="minorHAnsi" w:hAnsiTheme="minorHAnsi" w:cs="Times New Roman"/>
          <w:sz w:val="22"/>
          <w:szCs w:val="22"/>
        </w:rPr>
        <w:t>Wielkiej Brytanii</w:t>
      </w:r>
      <w:r>
        <w:rPr>
          <w:rFonts w:asciiTheme="minorHAnsi" w:hAnsiTheme="minorHAnsi"/>
          <w:color w:val="000000"/>
          <w:sz w:val="22"/>
          <w:szCs w:val="22"/>
        </w:rPr>
        <w:t xml:space="preserve"> i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Europie kontynentalnej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Części wydrukowane w technologii 3D można zamówić bezpośrednio na stronie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3YOURMIND</w:t>
        </w:r>
      </w:hyperlink>
      <w:r>
        <w:rPr>
          <w:rFonts w:ascii="Helvetica" w:hAnsi="Helvetica"/>
          <w:color w:val="548DD4"/>
          <w:sz w:val="21"/>
          <w:szCs w:val="21"/>
          <w:u w:val="single"/>
          <w:shd w:val="clear" w:color="auto" w:fill="FFFFFF"/>
        </w:rPr>
        <w:t>.</w:t>
      </w:r>
      <w:bookmarkStart w:id="0" w:name="_GoBack"/>
      <w:bookmarkEnd w:id="0"/>
    </w:p>
    <w:p w:rsidR="008700F8" w:rsidRDefault="008700F8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Aby dowiedzieć się więcej na temat zestawu projektowego przełączników EnOcean, odwiedź stronę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element14 community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>centrum projektowe element14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E63CD" w:rsidRDefault="003E63CD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3E63CD" w:rsidRDefault="003E63CD" w:rsidP="003E63CD">
      <w:pPr>
        <w:jc w:val="center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#####</w:t>
      </w:r>
    </w:p>
    <w:p w:rsidR="003E63CD" w:rsidRPr="00163DE3" w:rsidRDefault="003E63CD" w:rsidP="003E63CD">
      <w:pPr>
        <w:rPr>
          <w:rFonts w:ascii="Calibri" w:eastAsia="Times New Roman" w:hAnsi="Calibri"/>
          <w:b/>
          <w:bCs/>
          <w:u w:val="single"/>
          <w:lang w:eastAsia="en-GB"/>
        </w:rPr>
      </w:pPr>
      <w:r w:rsidRPr="00163DE3">
        <w:rPr>
          <w:rFonts w:ascii="Calibri" w:hAnsi="Calibri"/>
          <w:b/>
          <w:bCs/>
          <w:u w:val="single"/>
        </w:rPr>
        <w:t>Informacje o Premier Farnell Group</w:t>
      </w:r>
    </w:p>
    <w:p w:rsidR="003E63CD" w:rsidRPr="00163DE3" w:rsidRDefault="003E63CD" w:rsidP="003E63CD">
      <w:pPr>
        <w:rPr>
          <w:rFonts w:ascii="Calibri" w:hAnsi="Calibri"/>
        </w:rPr>
      </w:pPr>
      <w:r w:rsidRPr="00163DE3">
        <w:rPr>
          <w:rFonts w:ascii="Calibri" w:hAnsi="Calibri"/>
        </w:rPr>
        <w:t>Premier Farnell plc (LSE: pfl) to globalny lider w dystrybucji produktów i rozwiązań technologicznych do projektowania, produkcji, konserwacji i naprawy systemów elektronicznych. Firma działa jako </w:t>
      </w:r>
      <w:hyperlink r:id="rId11" w:history="1">
        <w:r w:rsidRPr="00163DE3">
          <w:rPr>
            <w:rStyle w:val="Hyperlink"/>
            <w:rFonts w:ascii="Calibri" w:hAnsi="Calibri"/>
          </w:rPr>
          <w:t>Farnell element14</w:t>
        </w:r>
      </w:hyperlink>
      <w:r w:rsidRPr="00163DE3">
        <w:rPr>
          <w:rFonts w:ascii="Calibri" w:hAnsi="Calibri"/>
        </w:rPr>
        <w:t> w Europie, </w:t>
      </w:r>
      <w:hyperlink r:id="rId12" w:history="1">
        <w:r w:rsidRPr="00163DE3">
          <w:rPr>
            <w:rStyle w:val="Hyperlink"/>
            <w:rFonts w:ascii="Calibri" w:hAnsi="Calibri"/>
          </w:rPr>
          <w:t>Newark element14</w:t>
        </w:r>
      </w:hyperlink>
      <w:r w:rsidRPr="00163DE3">
        <w:rPr>
          <w:rFonts w:ascii="Calibri" w:hAnsi="Calibri"/>
        </w:rPr>
        <w:t> w Ameryce Północnej oraz </w:t>
      </w:r>
      <w:hyperlink r:id="rId13" w:history="1">
        <w:r w:rsidRPr="00163DE3">
          <w:rPr>
            <w:rStyle w:val="Hyperlink"/>
            <w:rFonts w:ascii="Calibri" w:hAnsi="Calibri"/>
          </w:rPr>
          <w:t>element14</w:t>
        </w:r>
      </w:hyperlink>
      <w:r w:rsidRPr="00163DE3">
        <w:rPr>
          <w:rFonts w:ascii="Calibri" w:hAnsi="Calibri"/>
        </w:rPr>
        <w:t> w rejonie Azji i Pacyfiku. Przy ubiegłorocznej sprzedaży na poziomie 980.7 milionów funtów, grupa zarządza globalnym łańcuchem dostaw obejmującym ponad 3,500 dostawców i gamą produktów opracowaną z myślą o przewidywaniu i spełnianiu potrzeb klientów.</w:t>
      </w:r>
    </w:p>
    <w:p w:rsidR="003E63CD" w:rsidRPr="00B32AD3" w:rsidRDefault="003E63CD" w:rsidP="003E63CD">
      <w:pPr>
        <w:rPr>
          <w:rFonts w:ascii="Calibri" w:hAnsi="Calibri"/>
          <w:sz w:val="22"/>
          <w:szCs w:val="22"/>
        </w:rPr>
      </w:pPr>
      <w:r w:rsidRPr="00163DE3">
        <w:rPr>
          <w:rFonts w:ascii="Calibri" w:hAnsi="Calibri"/>
        </w:rPr>
        <w:t>Premier Farnell wprowadza na rynek zestawy rozwojowe do różnych zastosowań, co umożliwia wspieranie klientów od opracowywania koncepcji aż po proces produkcyjny.</w:t>
      </w:r>
      <w:r>
        <w:rPr>
          <w:rFonts w:ascii="Calibri" w:hAnsi="Calibri"/>
        </w:rPr>
        <w:t xml:space="preserve">                                                                  </w:t>
      </w:r>
      <w:r w:rsidRPr="00B32AD3">
        <w:rPr>
          <w:rFonts w:ascii="Calibri" w:hAnsi="Calibri"/>
          <w:sz w:val="22"/>
          <w:szCs w:val="22"/>
        </w:rPr>
        <w:t>…./…</w:t>
      </w:r>
    </w:p>
    <w:p w:rsidR="003E63CD" w:rsidRPr="00163DE3" w:rsidRDefault="003E63CD" w:rsidP="003E63CD">
      <w:pPr>
        <w:rPr>
          <w:rFonts w:ascii="Calibri" w:hAnsi="Calibri"/>
        </w:rPr>
      </w:pPr>
      <w:r w:rsidRPr="00163DE3">
        <w:rPr>
          <w:rFonts w:ascii="Calibri" w:hAnsi="Calibri"/>
        </w:rPr>
        <w:lastRenderedPageBreak/>
        <w:br/>
      </w:r>
      <w:r w:rsidRPr="00163DE3">
        <w:rPr>
          <w:rFonts w:ascii="Calibri" w:hAnsi="Calibri"/>
        </w:rPr>
        <w:br/>
        <w:t>Najnowsze produkty, oprogramowanie, usługi i rozwiązania od zaufanych partnerów dostępne są na lokalnych witrynach w 43 językach. Społeczność element14 </w:t>
      </w:r>
      <w:hyperlink r:id="rId14" w:history="1">
        <w:r w:rsidRPr="00163DE3">
          <w:rPr>
            <w:rStyle w:val="Hyperlink"/>
            <w:rFonts w:ascii="Calibri" w:hAnsi="Calibri"/>
          </w:rPr>
          <w:t>Community</w:t>
        </w:r>
      </w:hyperlink>
      <w:r w:rsidRPr="00163DE3">
        <w:rPr>
          <w:rFonts w:ascii="Calibri" w:hAnsi="Calibri"/>
        </w:rPr>
        <w:t xml:space="preserve"> zapewnia kupującym i specjalistom dostęp do niezależnych informacji technicznych, narzędzi oraz najnowszych zasobów, podczas gdy </w:t>
      </w:r>
      <w:hyperlink r:id="rId15" w:history="1">
        <w:r w:rsidRPr="00163DE3">
          <w:rPr>
            <w:rStyle w:val="Hyperlink"/>
            <w:rFonts w:ascii="Calibri" w:hAnsi="Calibri"/>
          </w:rPr>
          <w:t>Centrum Projektowania</w:t>
        </w:r>
      </w:hyperlink>
      <w:r w:rsidRPr="00163DE3">
        <w:rPr>
          <w:rFonts w:ascii="Calibri" w:hAnsi="Calibri"/>
        </w:rPr>
        <w:t xml:space="preserve"> umożliwia inżynierom konstrukcji porówna</w:t>
      </w:r>
      <w:r w:rsidRPr="00163DE3">
        <w:rPr>
          <w:rFonts w:ascii="Calibri" w:hAnsi="Calibri"/>
          <w:bCs/>
        </w:rPr>
        <w:t>nie</w:t>
      </w:r>
      <w:r w:rsidRPr="00163DE3">
        <w:rPr>
          <w:rFonts w:ascii="Calibri" w:hAnsi="Calibri"/>
        </w:rPr>
        <w:t xml:space="preserve"> zestawów z najwi</w:t>
      </w:r>
      <w:r w:rsidRPr="00163DE3">
        <w:rPr>
          <w:rFonts w:ascii="Calibri" w:hAnsi="Calibri"/>
          <w:bCs/>
        </w:rPr>
        <w:t>ę</w:t>
      </w:r>
      <w:r w:rsidRPr="00163DE3">
        <w:rPr>
          <w:rFonts w:ascii="Calibri" w:hAnsi="Calibri"/>
        </w:rPr>
        <w:t xml:space="preserve">kszej na </w:t>
      </w:r>
      <w:r w:rsidRPr="00163DE3">
        <w:rPr>
          <w:rFonts w:ascii="Calibri" w:hAnsi="Calibri"/>
          <w:bCs/>
        </w:rPr>
        <w:t>ś</w:t>
      </w:r>
      <w:r w:rsidRPr="00163DE3">
        <w:rPr>
          <w:rFonts w:ascii="Calibri" w:hAnsi="Calibri"/>
        </w:rPr>
        <w:t xml:space="preserve">wiecie gamy narzędzi rozwojowych. </w:t>
      </w:r>
    </w:p>
    <w:p w:rsidR="003E63CD" w:rsidRDefault="003E63CD" w:rsidP="003E63CD">
      <w:pPr>
        <w:spacing w:after="0"/>
        <w:rPr>
          <w:rFonts w:ascii="Calibri" w:hAnsi="Calibri"/>
          <w:b/>
          <w:bCs/>
        </w:rPr>
      </w:pPr>
      <w:r w:rsidRPr="00163DE3">
        <w:rPr>
          <w:rFonts w:ascii="Calibri" w:hAnsi="Calibri"/>
          <w:b/>
          <w:bCs/>
        </w:rPr>
        <w:t>Aby na bieżąco śledzić nowości od Premier Farnell i element14, skorzystaj z następujących źródeł informacji: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</w:p>
    <w:p w:rsidR="003E63CD" w:rsidRDefault="003E63CD" w:rsidP="003E63CD">
      <w:pPr>
        <w:spacing w:after="0"/>
        <w:rPr>
          <w:rFonts w:ascii="Calibri" w:hAnsi="Calibri" w:cs="Times New Roman"/>
          <w:lang w:val="en-US"/>
        </w:rPr>
      </w:pPr>
      <w:r w:rsidRPr="00163DE3">
        <w:rPr>
          <w:rFonts w:ascii="Calibri" w:hAnsi="Calibri"/>
          <w:bCs/>
          <w:lang w:val="en-US"/>
        </w:rPr>
        <w:t>Premier Farnell News Centre</w:t>
      </w:r>
      <w:r w:rsidRPr="00163DE3">
        <w:rPr>
          <w:rFonts w:ascii="Calibri" w:hAnsi="Calibri"/>
          <w:lang w:val="en-US"/>
        </w:rPr>
        <w:t xml:space="preserve"> – </w:t>
      </w:r>
      <w:hyperlink r:id="rId16" w:history="1">
        <w:r w:rsidRPr="00B76FA8">
          <w:rPr>
            <w:rStyle w:val="Hyperlink"/>
            <w:rFonts w:ascii="Calibri" w:hAnsi="Calibri"/>
            <w:lang w:val="en-US"/>
          </w:rPr>
          <w:t>www.element14.com/news</w:t>
        </w:r>
      </w:hyperlink>
    </w:p>
    <w:p w:rsidR="003E63CD" w:rsidRDefault="003E63CD" w:rsidP="003E63CD">
      <w:pPr>
        <w:spacing w:after="0"/>
        <w:rPr>
          <w:rFonts w:ascii="Calibri" w:hAnsi="Calibri" w:cs="Times New Roman"/>
          <w:lang w:val="en-US"/>
        </w:rPr>
      </w:pPr>
      <w:r w:rsidRPr="00163DE3">
        <w:rPr>
          <w:rFonts w:ascii="Calibri" w:hAnsi="Calibri"/>
          <w:bCs/>
          <w:lang w:val="en-US"/>
        </w:rPr>
        <w:t>Twitter</w:t>
      </w:r>
      <w:r w:rsidRPr="00163DE3">
        <w:rPr>
          <w:rFonts w:ascii="Calibri" w:hAnsi="Calibri"/>
          <w:b/>
          <w:bCs/>
          <w:lang w:val="en-US"/>
        </w:rPr>
        <w:t xml:space="preserve"> -</w:t>
      </w:r>
      <w:r w:rsidRPr="00163DE3">
        <w:rPr>
          <w:rFonts w:ascii="Calibri" w:hAnsi="Calibri"/>
          <w:lang w:val="en-US"/>
        </w:rPr>
        <w:t> </w:t>
      </w:r>
      <w:hyperlink r:id="rId17" w:history="1">
        <w:r w:rsidRPr="00163DE3">
          <w:rPr>
            <w:rStyle w:val="Hyperlink"/>
            <w:rFonts w:ascii="Calibri" w:hAnsi="Calibri"/>
            <w:lang w:val="en-US"/>
          </w:rPr>
          <w:t>@element14</w:t>
        </w:r>
      </w:hyperlink>
      <w:r w:rsidRPr="00163DE3">
        <w:rPr>
          <w:rFonts w:ascii="Calibri" w:hAnsi="Calibri"/>
          <w:lang w:val="en-US"/>
        </w:rPr>
        <w:br/>
      </w:r>
      <w:r w:rsidRPr="00163DE3">
        <w:rPr>
          <w:rFonts w:ascii="Calibri" w:hAnsi="Calibri"/>
          <w:bCs/>
          <w:lang w:val="en-US"/>
        </w:rPr>
        <w:t xml:space="preserve">YouTube </w:t>
      </w:r>
      <w:r w:rsidRPr="00163DE3">
        <w:rPr>
          <w:rFonts w:ascii="Calibri" w:hAnsi="Calibri"/>
          <w:b/>
          <w:bCs/>
          <w:lang w:val="en-US"/>
        </w:rPr>
        <w:t>–</w:t>
      </w:r>
      <w:r w:rsidRPr="00163DE3">
        <w:rPr>
          <w:rFonts w:ascii="Calibri" w:hAnsi="Calibri"/>
          <w:lang w:val="en-US"/>
        </w:rPr>
        <w:t> </w:t>
      </w:r>
      <w:hyperlink r:id="rId18" w:history="1">
        <w:r w:rsidRPr="00163DE3">
          <w:rPr>
            <w:rStyle w:val="Hyperlink"/>
            <w:rFonts w:ascii="Calibri" w:hAnsi="Calibri"/>
            <w:lang w:val="en-US"/>
          </w:rPr>
          <w:t>element14</w:t>
        </w:r>
      </w:hyperlink>
      <w:r w:rsidRPr="00163DE3">
        <w:rPr>
          <w:rFonts w:ascii="Calibri" w:hAnsi="Calibri"/>
          <w:lang w:val="en-US"/>
        </w:rPr>
        <w:br/>
      </w:r>
      <w:r w:rsidRPr="00163DE3">
        <w:rPr>
          <w:rFonts w:ascii="Calibri" w:hAnsi="Calibri"/>
          <w:bCs/>
          <w:lang w:val="en-US"/>
        </w:rPr>
        <w:t xml:space="preserve">Facebook </w:t>
      </w:r>
      <w:r w:rsidRPr="00163DE3">
        <w:rPr>
          <w:rFonts w:ascii="Calibri" w:hAnsi="Calibri"/>
          <w:b/>
          <w:bCs/>
          <w:lang w:val="en-US"/>
        </w:rPr>
        <w:t>–</w:t>
      </w:r>
      <w:r w:rsidRPr="00163DE3">
        <w:rPr>
          <w:rFonts w:ascii="Calibri" w:hAnsi="Calibri"/>
          <w:lang w:val="en-US"/>
        </w:rPr>
        <w:t> </w:t>
      </w:r>
      <w:hyperlink r:id="rId19" w:history="1">
        <w:r w:rsidRPr="00163DE3">
          <w:rPr>
            <w:rStyle w:val="Hyperlink"/>
            <w:rFonts w:ascii="Calibri" w:hAnsi="Calibri"/>
            <w:lang w:val="en-US"/>
          </w:rPr>
          <w:t>facebook.com/element14page</w:t>
        </w:r>
      </w:hyperlink>
      <w:r w:rsidRPr="00163DE3">
        <w:rPr>
          <w:rFonts w:ascii="Calibri" w:hAnsi="Calibri"/>
          <w:lang w:val="en-US"/>
        </w:rPr>
        <w:br/>
      </w:r>
      <w:r w:rsidRPr="00163DE3">
        <w:rPr>
          <w:rFonts w:ascii="Calibri" w:hAnsi="Calibri"/>
          <w:bCs/>
          <w:lang w:val="en-US"/>
        </w:rPr>
        <w:t>E-mail</w:t>
      </w:r>
      <w:r w:rsidRPr="00163DE3">
        <w:rPr>
          <w:rFonts w:ascii="Calibri" w:hAnsi="Calibri"/>
          <w:b/>
          <w:bCs/>
          <w:lang w:val="en-US"/>
        </w:rPr>
        <w:t>:</w:t>
      </w:r>
      <w:r w:rsidRPr="00163DE3">
        <w:rPr>
          <w:rFonts w:ascii="Calibri" w:hAnsi="Calibri"/>
          <w:lang w:val="en-US"/>
        </w:rPr>
        <w:t> </w:t>
      </w:r>
      <w:hyperlink r:id="rId20" w:history="1">
        <w:r w:rsidRPr="00B76FA8">
          <w:rPr>
            <w:rStyle w:val="Hyperlink"/>
            <w:rFonts w:ascii="Calibri" w:hAnsi="Calibri"/>
            <w:lang w:val="en-US"/>
          </w:rPr>
          <w:t>media@element14.com</w:t>
        </w:r>
      </w:hyperlink>
    </w:p>
    <w:p w:rsidR="003E63CD" w:rsidRPr="00163DE3" w:rsidRDefault="003E63CD" w:rsidP="003E63CD">
      <w:pPr>
        <w:spacing w:after="0"/>
        <w:rPr>
          <w:rFonts w:ascii="Calibri" w:hAnsi="Calibri"/>
          <w:lang w:val="en-GB"/>
        </w:rPr>
      </w:pPr>
    </w:p>
    <w:p w:rsidR="003E63CD" w:rsidRPr="00163DE3" w:rsidRDefault="003E63CD" w:rsidP="003E63CD">
      <w:pPr>
        <w:rPr>
          <w:rFonts w:ascii="Calibri" w:hAnsi="Calibri"/>
        </w:rPr>
      </w:pPr>
      <w:r w:rsidRPr="00163DE3">
        <w:rPr>
          <w:rFonts w:ascii="Calibri" w:hAnsi="Calibri"/>
          <w:b/>
          <w:bCs/>
        </w:rPr>
        <w:t>Najważniejsze fakty na temat Premier Farnell</w:t>
      </w:r>
    </w:p>
    <w:p w:rsidR="003E63CD" w:rsidRPr="00163DE3" w:rsidRDefault="003E63CD" w:rsidP="003E63CD">
      <w:pPr>
        <w:numPr>
          <w:ilvl w:val="0"/>
          <w:numId w:val="1"/>
        </w:numPr>
        <w:suppressAutoHyphens w:val="0"/>
        <w:spacing w:after="0"/>
        <w:rPr>
          <w:rFonts w:ascii="Calibri" w:hAnsi="Calibri"/>
        </w:rPr>
      </w:pPr>
      <w:r w:rsidRPr="00163DE3">
        <w:rPr>
          <w:rFonts w:ascii="Calibri" w:hAnsi="Calibri"/>
          <w:bCs/>
        </w:rPr>
        <w:t>Działa w 38 krajach</w:t>
      </w:r>
    </w:p>
    <w:p w:rsidR="003E63CD" w:rsidRPr="00163DE3" w:rsidRDefault="003E63CD" w:rsidP="003E63CD">
      <w:pPr>
        <w:numPr>
          <w:ilvl w:val="0"/>
          <w:numId w:val="1"/>
        </w:numPr>
        <w:suppressAutoHyphens w:val="0"/>
        <w:spacing w:after="0"/>
        <w:rPr>
          <w:rFonts w:ascii="Calibri" w:hAnsi="Calibri"/>
        </w:rPr>
      </w:pPr>
      <w:r w:rsidRPr="00163DE3">
        <w:rPr>
          <w:rFonts w:ascii="Calibri" w:hAnsi="Calibri"/>
          <w:bCs/>
        </w:rPr>
        <w:t>Zatrudnia ponad 4,500 pracowników</w:t>
      </w:r>
    </w:p>
    <w:p w:rsidR="003E63CD" w:rsidRPr="00163DE3" w:rsidRDefault="003E63CD" w:rsidP="003E63CD">
      <w:pPr>
        <w:numPr>
          <w:ilvl w:val="0"/>
          <w:numId w:val="1"/>
        </w:numPr>
        <w:suppressAutoHyphens w:val="0"/>
        <w:spacing w:after="0"/>
        <w:rPr>
          <w:rFonts w:ascii="Calibri" w:hAnsi="Calibri"/>
        </w:rPr>
      </w:pPr>
      <w:r w:rsidRPr="00163DE3">
        <w:rPr>
          <w:rFonts w:ascii="Calibri" w:hAnsi="Calibri"/>
          <w:bCs/>
        </w:rPr>
        <w:t>Współpracuje z ponad 3, 500 wiodących dostawców</w:t>
      </w:r>
    </w:p>
    <w:p w:rsidR="003E63CD" w:rsidRPr="00163DE3" w:rsidRDefault="003E63CD" w:rsidP="003E63CD">
      <w:pPr>
        <w:numPr>
          <w:ilvl w:val="0"/>
          <w:numId w:val="1"/>
        </w:numPr>
        <w:suppressAutoHyphens w:val="0"/>
        <w:spacing w:after="0"/>
        <w:rPr>
          <w:rFonts w:ascii="Calibri" w:hAnsi="Calibri"/>
        </w:rPr>
      </w:pPr>
      <w:r w:rsidRPr="00163DE3">
        <w:rPr>
          <w:rFonts w:ascii="Calibri" w:hAnsi="Calibri"/>
          <w:bCs/>
        </w:rPr>
        <w:t>Ponad  650 000 produktów dostępnych natychmiast i ponad 4 000 000 na zamówienie</w:t>
      </w:r>
    </w:p>
    <w:p w:rsidR="003E63CD" w:rsidRPr="00163DE3" w:rsidRDefault="003E63CD" w:rsidP="003E63CD">
      <w:pPr>
        <w:numPr>
          <w:ilvl w:val="0"/>
          <w:numId w:val="1"/>
        </w:numPr>
        <w:suppressAutoHyphens w:val="0"/>
        <w:spacing w:after="0"/>
        <w:rPr>
          <w:rFonts w:ascii="Calibri" w:hAnsi="Calibri"/>
        </w:rPr>
      </w:pPr>
      <w:r w:rsidRPr="00163DE3">
        <w:rPr>
          <w:rFonts w:ascii="Calibri" w:hAnsi="Calibri"/>
          <w:bCs/>
        </w:rPr>
        <w:t>Lider w dostarczaniu informacji dot. REACH, m</w:t>
      </w:r>
      <w:r w:rsidRPr="00163DE3">
        <w:rPr>
          <w:rFonts w:ascii="Calibri" w:hAnsi="Calibri"/>
        </w:rPr>
        <w:t>inerałów z regionów ogarniętych konfliktami </w:t>
      </w:r>
      <w:r w:rsidRPr="00163DE3">
        <w:rPr>
          <w:rFonts w:ascii="Calibri" w:hAnsi="Calibri"/>
          <w:bCs/>
        </w:rPr>
        <w:t xml:space="preserve">oraz </w:t>
      </w:r>
      <w:hyperlink r:id="rId21" w:history="1">
        <w:r w:rsidRPr="00163DE3">
          <w:rPr>
            <w:rStyle w:val="Hyperlink"/>
            <w:rFonts w:ascii="Calibri" w:hAnsi="Calibri"/>
          </w:rPr>
          <w:t>dyrektywy RoHS</w:t>
        </w:r>
        <w:r w:rsidRPr="00163DE3">
          <w:rPr>
            <w:rStyle w:val="Hyperlink"/>
            <w:rFonts w:ascii="Calibri" w:hAnsi="Calibri"/>
            <w:bCs/>
          </w:rPr>
          <w:t> </w:t>
        </w:r>
      </w:hyperlink>
    </w:p>
    <w:p w:rsidR="003E63CD" w:rsidRPr="00163DE3" w:rsidRDefault="003E63CD" w:rsidP="003E63CD">
      <w:pPr>
        <w:spacing w:after="0"/>
        <w:ind w:left="720"/>
        <w:rPr>
          <w:rFonts w:ascii="Calibri" w:hAnsi="Calibri"/>
        </w:rPr>
      </w:pPr>
    </w:p>
    <w:p w:rsidR="003E63CD" w:rsidRDefault="003E63CD" w:rsidP="003E63CD">
      <w:pPr>
        <w:rPr>
          <w:rFonts w:ascii="Calibri" w:hAnsi="Calibri"/>
        </w:rPr>
      </w:pPr>
      <w:r w:rsidRPr="00163DE3">
        <w:rPr>
          <w:rFonts w:ascii="Calibri" w:hAnsi="Calibri"/>
        </w:rPr>
        <w:t>Więcej informacji można znaleźć na stronie </w:t>
      </w:r>
      <w:hyperlink r:id="rId22" w:history="1">
        <w:r w:rsidRPr="00163DE3">
          <w:rPr>
            <w:rStyle w:val="Hyperlink"/>
            <w:rFonts w:ascii="Calibri" w:hAnsi="Calibri"/>
          </w:rPr>
          <w:t>Premier Farnell</w:t>
        </w:r>
      </w:hyperlink>
      <w:r w:rsidRPr="00163DE3">
        <w:rPr>
          <w:rFonts w:ascii="Calibri" w:hAnsi="Calibri"/>
        </w:rPr>
        <w:t>.</w:t>
      </w:r>
    </w:p>
    <w:p w:rsidR="003E63CD" w:rsidRPr="00163DE3" w:rsidRDefault="003E63CD" w:rsidP="003E63CD">
      <w:pPr>
        <w:rPr>
          <w:rFonts w:ascii="Calibri" w:hAnsi="Calibri"/>
        </w:rPr>
      </w:pPr>
    </w:p>
    <w:p w:rsidR="003E63CD" w:rsidRPr="00163DE3" w:rsidRDefault="003E63CD" w:rsidP="003E63CD">
      <w:pPr>
        <w:rPr>
          <w:rFonts w:ascii="Calibri" w:hAnsi="Calibri"/>
          <w:b/>
          <w:bCs/>
          <w:u w:val="single"/>
        </w:rPr>
      </w:pPr>
      <w:r w:rsidRPr="00163DE3">
        <w:rPr>
          <w:rFonts w:ascii="Calibri" w:hAnsi="Calibri"/>
          <w:b/>
          <w:bCs/>
          <w:u w:val="single"/>
        </w:rPr>
        <w:t>Agencja PR na świecie: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  <w:r w:rsidRPr="00163DE3">
        <w:rPr>
          <w:rFonts w:ascii="Calibri" w:hAnsi="Calibri"/>
          <w:b/>
          <w:bCs/>
        </w:rPr>
        <w:t>Debbie Norton</w:t>
      </w:r>
    </w:p>
    <w:p w:rsidR="003E63CD" w:rsidRPr="00163DE3" w:rsidRDefault="003E63CD" w:rsidP="003E63CD">
      <w:pPr>
        <w:spacing w:after="0"/>
        <w:rPr>
          <w:rFonts w:ascii="Calibri" w:hAnsi="Calibri"/>
          <w:lang w:val="en-GB"/>
        </w:rPr>
      </w:pPr>
      <w:r w:rsidRPr="00163DE3">
        <w:rPr>
          <w:rFonts w:ascii="Calibri" w:hAnsi="Calibri"/>
          <w:lang w:val="en-US"/>
        </w:rPr>
        <w:t>Napier Partnership</w:t>
      </w:r>
    </w:p>
    <w:p w:rsidR="003E63CD" w:rsidRPr="00163DE3" w:rsidRDefault="003E63CD" w:rsidP="003E63CD">
      <w:pPr>
        <w:spacing w:after="0"/>
        <w:rPr>
          <w:rFonts w:ascii="Calibri" w:hAnsi="Calibri"/>
          <w:lang w:val="en-US"/>
        </w:rPr>
      </w:pPr>
      <w:r w:rsidRPr="00163DE3">
        <w:rPr>
          <w:rFonts w:ascii="Calibri" w:hAnsi="Calibri"/>
          <w:lang w:val="en-US"/>
        </w:rPr>
        <w:t xml:space="preserve">Tel: +44 1243 531123 </w:t>
      </w:r>
    </w:p>
    <w:p w:rsidR="003E63CD" w:rsidRPr="00163DE3" w:rsidRDefault="003E63CD" w:rsidP="003E63CD">
      <w:pPr>
        <w:spacing w:after="0"/>
        <w:rPr>
          <w:rFonts w:ascii="Calibri" w:hAnsi="Calibri"/>
          <w:lang w:val="en-US"/>
        </w:rPr>
      </w:pPr>
      <w:r w:rsidRPr="00163DE3">
        <w:rPr>
          <w:rFonts w:ascii="Calibri" w:hAnsi="Calibri"/>
          <w:lang w:val="en-US"/>
        </w:rPr>
        <w:t>Email: </w:t>
      </w:r>
      <w:hyperlink r:id="rId23" w:history="1">
        <w:r w:rsidRPr="00163DE3">
          <w:rPr>
            <w:rStyle w:val="Hyperlink"/>
            <w:rFonts w:ascii="Calibri" w:hAnsi="Calibri"/>
            <w:lang w:val="en-US"/>
          </w:rPr>
          <w:t>debbie@napierb2b.com</w:t>
        </w:r>
      </w:hyperlink>
    </w:p>
    <w:p w:rsidR="003E63CD" w:rsidRPr="00163DE3" w:rsidRDefault="003E63CD" w:rsidP="003E63CD">
      <w:pPr>
        <w:spacing w:after="0"/>
        <w:rPr>
          <w:rFonts w:ascii="Calibri" w:hAnsi="Calibri"/>
          <w:lang w:val="en-US"/>
        </w:rPr>
      </w:pPr>
      <w:r w:rsidRPr="00163DE3">
        <w:rPr>
          <w:rFonts w:ascii="Calibri" w:hAnsi="Calibri"/>
          <w:lang w:val="en-US"/>
        </w:rPr>
        <w:t> 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  <w:r w:rsidRPr="00163DE3">
        <w:rPr>
          <w:rFonts w:ascii="Calibri" w:hAnsi="Calibri"/>
          <w:b/>
          <w:bCs/>
        </w:rPr>
        <w:t>Holly Smart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  <w:r w:rsidRPr="00163DE3">
        <w:rPr>
          <w:rFonts w:ascii="Calibri" w:hAnsi="Calibri"/>
          <w:b/>
          <w:bCs/>
        </w:rPr>
        <w:t>Kierownik ds. PR, Europa i Świat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  <w:r w:rsidRPr="00163DE3">
        <w:rPr>
          <w:rFonts w:ascii="Calibri" w:hAnsi="Calibri"/>
        </w:rPr>
        <w:t>Tel: +44 113 348 4904</w:t>
      </w:r>
    </w:p>
    <w:p w:rsidR="003E63CD" w:rsidRPr="00163DE3" w:rsidRDefault="003E63CD" w:rsidP="003E63CD">
      <w:pPr>
        <w:spacing w:after="0"/>
        <w:rPr>
          <w:rFonts w:ascii="Calibri" w:hAnsi="Calibri"/>
        </w:rPr>
      </w:pPr>
      <w:r w:rsidRPr="00163DE3">
        <w:rPr>
          <w:rFonts w:ascii="Calibri" w:hAnsi="Calibri"/>
        </w:rPr>
        <w:t>Email: </w:t>
      </w:r>
      <w:hyperlink r:id="rId24" w:history="1">
        <w:r w:rsidRPr="00163DE3">
          <w:rPr>
            <w:rStyle w:val="Hyperlink"/>
            <w:rFonts w:ascii="Calibri" w:hAnsi="Calibri"/>
          </w:rPr>
          <w:t>hsmart@premierfarnell.com</w:t>
        </w:r>
      </w:hyperlink>
    </w:p>
    <w:p w:rsidR="003E63CD" w:rsidRPr="00163DE3" w:rsidRDefault="003E63CD" w:rsidP="003E63CD">
      <w:pPr>
        <w:spacing w:after="0"/>
        <w:rPr>
          <w:rFonts w:ascii="Calibri" w:hAnsi="Calibri"/>
          <w:bCs/>
        </w:rPr>
      </w:pPr>
    </w:p>
    <w:p w:rsidR="003E63CD" w:rsidRPr="00163DE3" w:rsidRDefault="003E63CD" w:rsidP="003E63CD">
      <w:pPr>
        <w:spacing w:after="0"/>
        <w:rPr>
          <w:rFonts w:ascii="Calibri" w:hAnsi="Calibri"/>
        </w:rPr>
      </w:pPr>
    </w:p>
    <w:p w:rsidR="003E63CD" w:rsidRPr="00F06033" w:rsidRDefault="003E63CD" w:rsidP="003E63CD">
      <w:pPr>
        <w:rPr>
          <w:rFonts w:ascii="Calibri" w:hAnsi="Calibri" w:cs="Arial"/>
          <w:sz w:val="22"/>
          <w:szCs w:val="22"/>
        </w:rPr>
      </w:pPr>
    </w:p>
    <w:p w:rsidR="003E63CD" w:rsidRDefault="003E63CD" w:rsidP="008700F8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</w:p>
    <w:p w:rsidR="00354893" w:rsidRDefault="003836B3"/>
    <w:sectPr w:rsidR="00354893" w:rsidSect="003E63CD">
      <w:headerReference w:type="default" r:id="rId25"/>
      <w:pgSz w:w="11906" w:h="16838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CD" w:rsidRDefault="003E63CD" w:rsidP="003E63CD">
      <w:pPr>
        <w:spacing w:after="0" w:line="240" w:lineRule="auto"/>
      </w:pPr>
      <w:r>
        <w:separator/>
      </w:r>
    </w:p>
  </w:endnote>
  <w:endnote w:type="continuationSeparator" w:id="0">
    <w:p w:rsidR="003E63CD" w:rsidRDefault="003E63CD" w:rsidP="003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CD" w:rsidRDefault="003E63CD" w:rsidP="003E63CD">
      <w:pPr>
        <w:spacing w:after="0" w:line="240" w:lineRule="auto"/>
      </w:pPr>
      <w:r>
        <w:separator/>
      </w:r>
    </w:p>
  </w:footnote>
  <w:footnote w:type="continuationSeparator" w:id="0">
    <w:p w:rsidR="003E63CD" w:rsidRDefault="003E63CD" w:rsidP="003E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D" w:rsidRDefault="003E63CD" w:rsidP="003E63CD">
    <w:pPr>
      <w:pStyle w:val="Header"/>
      <w:jc w:val="right"/>
    </w:pPr>
    <w:r w:rsidRPr="003E63CD">
      <w:rPr>
        <w:noProof/>
        <w:lang w:val="en-GB" w:eastAsia="en-GB" w:bidi="ar-SA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85C"/>
    <w:multiLevelType w:val="multilevel"/>
    <w:tmpl w:val="AB8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F8"/>
    <w:rsid w:val="00120161"/>
    <w:rsid w:val="00147B9F"/>
    <w:rsid w:val="00237181"/>
    <w:rsid w:val="003454C0"/>
    <w:rsid w:val="003836B3"/>
    <w:rsid w:val="003E63CD"/>
    <w:rsid w:val="004E72CF"/>
    <w:rsid w:val="008700F8"/>
    <w:rsid w:val="0088613C"/>
    <w:rsid w:val="00B32AD3"/>
    <w:rsid w:val="00BA599C"/>
    <w:rsid w:val="00D018C9"/>
    <w:rsid w:val="00F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F8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00F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700F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3CD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E63C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3C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E63C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63C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861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element14/esdk868-uk/kinetic-switch-kit-uk/dp/2563837?ost=KINETIC+SWITCH++KIT&amp;selectedCategoryId=&amp;categoryNameResp=Wszystkie%2Bkategorie&amp;searchView=table&amp;iscrfnonsku=false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http://www.youtube.com/element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ement-14.com/community/community/legislation" TargetMode="External"/><Relationship Id="rId7" Type="http://schemas.openxmlformats.org/officeDocument/2006/relationships/hyperlink" Target="http://pl.farnell.com/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twitter.com/element1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ement14.com/news" TargetMode="External"/><Relationship Id="rId20" Type="http://schemas.openxmlformats.org/officeDocument/2006/relationships/hyperlink" Target="mailto:media@element14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farnell.com/" TargetMode="External"/><Relationship Id="rId24" Type="http://schemas.openxmlformats.org/officeDocument/2006/relationships/hyperlink" Target="mailto:jpatterson@premier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community/community/designcenter?ICID=menubar_designcenter" TargetMode="External"/><Relationship Id="rId23" Type="http://schemas.openxmlformats.org/officeDocument/2006/relationships/hyperlink" Target="mailto:debbie@napierb2b.com" TargetMode="External"/><Relationship Id="rId10" Type="http://schemas.openxmlformats.org/officeDocument/2006/relationships/hyperlink" Target="https://www.element14.com/community/docs/DOC-81956/l/enocean-switch-design-kit-customize-print-your-own-switch-for-self-powered-iot" TargetMode="External"/><Relationship Id="rId19" Type="http://schemas.openxmlformats.org/officeDocument/2006/relationships/hyperlink" Target="http://www.youtube.com/element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yourmind.com/enocean-and-3yourmind-combine-3d-printing-and-the-internet-of-things" TargetMode="External"/><Relationship Id="rId14" Type="http://schemas.openxmlformats.org/officeDocument/2006/relationships/hyperlink" Target="http://www.element14.com/community/welcome" TargetMode="External"/><Relationship Id="rId22" Type="http://schemas.openxmlformats.org/officeDocument/2006/relationships/hyperlink" Target="http://www.premierfarnell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4714</Characters>
  <Application>Microsoft Office Word</Application>
  <DocSecurity>4</DocSecurity>
  <Lines>39</Lines>
  <Paragraphs>11</Paragraphs>
  <ScaleCrop>false</ScaleCrop>
  <Company>Premier Farnell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2</cp:revision>
  <dcterms:created xsi:type="dcterms:W3CDTF">2016-09-27T08:47:00Z</dcterms:created>
  <dcterms:modified xsi:type="dcterms:W3CDTF">2016-09-27T08:47:00Z</dcterms:modified>
</cp:coreProperties>
</file>