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C3" w:rsidRDefault="002F22C3" w:rsidP="00F705D3">
      <w:pPr>
        <w:shd w:val="clear" w:color="auto" w:fill="FFFFFF"/>
        <w:spacing w:after="0" w:line="240" w:lineRule="atLeast"/>
        <w:jc w:val="center"/>
        <w:textAlignment w:val="baseline"/>
        <w:rPr>
          <w:rFonts w:eastAsia="Times New Roman" w:cs="Arial"/>
          <w:b/>
          <w:bCs/>
          <w:color w:val="404040"/>
          <w:sz w:val="28"/>
          <w:lang w:eastAsia="en-GB"/>
        </w:rPr>
      </w:pPr>
    </w:p>
    <w:p w:rsidR="008D3C29" w:rsidRPr="00651496" w:rsidRDefault="00F56BC1" w:rsidP="007F7CFD">
      <w:pPr>
        <w:jc w:val="center"/>
        <w:rPr>
          <w:rFonts w:eastAsia="Times New Roman" w:cs="Arial"/>
          <w:b/>
          <w:bCs/>
          <w:sz w:val="28"/>
          <w:lang w:val="it-IT" w:eastAsia="en-GB"/>
        </w:rPr>
      </w:pPr>
      <w:r w:rsidRPr="00651496">
        <w:rPr>
          <w:rFonts w:eastAsia="Times New Roman" w:cs="Arial"/>
          <w:b/>
          <w:bCs/>
          <w:sz w:val="28"/>
          <w:lang w:val="it-IT" w:eastAsia="en-GB"/>
        </w:rPr>
        <w:t xml:space="preserve">Premier Farnell amplia la serie ‘Essential Design Tips for Engineers’ con una edizione speciale </w:t>
      </w:r>
      <w:r w:rsidR="00046324">
        <w:rPr>
          <w:rFonts w:eastAsia="Times New Roman" w:cs="Arial"/>
          <w:b/>
          <w:bCs/>
          <w:sz w:val="28"/>
          <w:lang w:val="it-IT" w:eastAsia="en-GB"/>
        </w:rPr>
        <w:t>dedicata a</w:t>
      </w:r>
      <w:r w:rsidR="00347FC5">
        <w:rPr>
          <w:rFonts w:eastAsia="Times New Roman" w:cs="Arial"/>
          <w:b/>
          <w:bCs/>
          <w:sz w:val="28"/>
          <w:lang w:val="it-IT" w:eastAsia="en-GB"/>
        </w:rPr>
        <w:t>i</w:t>
      </w:r>
      <w:r w:rsidR="007E4AB5">
        <w:rPr>
          <w:rFonts w:eastAsia="Times New Roman" w:cs="Arial"/>
          <w:b/>
          <w:bCs/>
          <w:sz w:val="28"/>
          <w:lang w:val="it-IT" w:eastAsia="en-GB"/>
        </w:rPr>
        <w:t xml:space="preserve"> progetti Embedded</w:t>
      </w:r>
    </w:p>
    <w:p w:rsidR="005C5891" w:rsidRPr="00651496" w:rsidRDefault="00F56BC1" w:rsidP="00492F1C">
      <w:pPr>
        <w:rPr>
          <w:lang w:val="it-IT"/>
        </w:rPr>
      </w:pPr>
      <w:r w:rsidRPr="00651496">
        <w:rPr>
          <w:b/>
          <w:lang w:val="it-IT"/>
        </w:rPr>
        <w:t xml:space="preserve">Londra, United Kingdom – Mercoledì 8 Marzo: </w:t>
      </w:r>
      <w:hyperlink r:id="rId8" w:history="1">
        <w:r w:rsidRPr="00651496">
          <w:rPr>
            <w:rStyle w:val="Hyperlink"/>
            <w:lang w:val="it-IT"/>
          </w:rPr>
          <w:t>Premier Farnell</w:t>
        </w:r>
      </w:hyperlink>
      <w:r w:rsidRPr="00651496">
        <w:rPr>
          <w:rFonts w:eastAsia="Times New Roman" w:cs="Arial"/>
          <w:lang w:val="it-IT" w:eastAsia="en-GB"/>
        </w:rPr>
        <w:t xml:space="preserve">, </w:t>
      </w:r>
      <w:r w:rsidRPr="00651496">
        <w:rPr>
          <w:rFonts w:eastAsia="Times New Roman" w:cs="Arial"/>
          <w:i/>
          <w:lang w:val="it-IT" w:eastAsia="en-GB"/>
        </w:rPr>
        <w:t>The Development Distributor</w:t>
      </w:r>
      <w:r w:rsidRPr="00651496">
        <w:rPr>
          <w:lang w:val="it-IT"/>
        </w:rPr>
        <w:t xml:space="preserve"> </w:t>
      </w:r>
      <w:r w:rsidR="00347FC5" w:rsidRPr="00046324">
        <w:rPr>
          <w:lang w:val="it-IT"/>
        </w:rPr>
        <w:t>leader di mercato</w:t>
      </w:r>
      <w:r w:rsidR="002936B8">
        <w:rPr>
          <w:lang w:val="it-IT"/>
        </w:rPr>
        <w:t>,</w:t>
      </w:r>
      <w:r w:rsidR="00347FC5">
        <w:rPr>
          <w:lang w:val="it-IT"/>
        </w:rPr>
        <w:t xml:space="preserve"> </w:t>
      </w:r>
      <w:r w:rsidR="002936B8">
        <w:rPr>
          <w:lang w:val="it-IT"/>
        </w:rPr>
        <w:t>è</w:t>
      </w:r>
      <w:r w:rsidRPr="00651496">
        <w:rPr>
          <w:lang w:val="it-IT"/>
        </w:rPr>
        <w:t xml:space="preserve"> rinomata per il suo </w:t>
      </w:r>
      <w:r w:rsidRPr="00651496">
        <w:rPr>
          <w:i/>
          <w:lang w:val="it-IT"/>
        </w:rPr>
        <w:t>know how</w:t>
      </w:r>
      <w:r w:rsidR="00347FC5">
        <w:rPr>
          <w:lang w:val="it-IT"/>
        </w:rPr>
        <w:t xml:space="preserve"> in campo di</w:t>
      </w:r>
      <w:r w:rsidRPr="00651496">
        <w:rPr>
          <w:lang w:val="it-IT"/>
        </w:rPr>
        <w:t xml:space="preserve"> progettazione e la capacità di fornire supporto  </w:t>
      </w:r>
      <w:r w:rsidR="00347FC5" w:rsidRPr="00046324">
        <w:rPr>
          <w:lang w:val="it-IT"/>
        </w:rPr>
        <w:t>in tutte le fasi</w:t>
      </w:r>
      <w:r w:rsidRPr="00651496">
        <w:rPr>
          <w:lang w:val="it-IT"/>
        </w:rPr>
        <w:t xml:space="preserve"> di progettazione</w:t>
      </w:r>
      <w:r w:rsidR="00046324">
        <w:rPr>
          <w:lang w:val="it-IT"/>
        </w:rPr>
        <w:t>,</w:t>
      </w:r>
      <w:r w:rsidRPr="00651496">
        <w:rPr>
          <w:lang w:val="it-IT"/>
        </w:rPr>
        <w:t xml:space="preserve"> da</w:t>
      </w:r>
      <w:r w:rsidR="00046324">
        <w:rPr>
          <w:lang w:val="it-IT"/>
        </w:rPr>
        <w:t>l</w:t>
      </w:r>
      <w:r w:rsidRPr="00651496">
        <w:rPr>
          <w:lang w:val="it-IT"/>
        </w:rPr>
        <w:t xml:space="preserve"> </w:t>
      </w:r>
      <w:r w:rsidRPr="00651496">
        <w:rPr>
          <w:i/>
          <w:lang w:val="it-IT"/>
        </w:rPr>
        <w:t>concept</w:t>
      </w:r>
      <w:r w:rsidRPr="00651496">
        <w:rPr>
          <w:lang w:val="it-IT"/>
        </w:rPr>
        <w:t xml:space="preserve"> a</w:t>
      </w:r>
      <w:r w:rsidR="00046324">
        <w:rPr>
          <w:lang w:val="it-IT"/>
        </w:rPr>
        <w:t>l</w:t>
      </w:r>
      <w:r w:rsidRPr="00651496">
        <w:rPr>
          <w:lang w:val="it-IT"/>
        </w:rPr>
        <w:t xml:space="preserve"> progetto. Premier Farnell comprende che ogni </w:t>
      </w:r>
      <w:r w:rsidR="00046324">
        <w:rPr>
          <w:lang w:val="it-IT"/>
        </w:rPr>
        <w:t>progetto</w:t>
      </w:r>
      <w:r w:rsidRPr="00651496">
        <w:rPr>
          <w:lang w:val="it-IT"/>
        </w:rPr>
        <w:t xml:space="preserve"> è differente e per questo offre </w:t>
      </w:r>
      <w:r w:rsidR="00046324">
        <w:rPr>
          <w:lang w:val="it-IT"/>
        </w:rPr>
        <w:t>ampio</w:t>
      </w:r>
      <w:r w:rsidRPr="00651496">
        <w:rPr>
          <w:lang w:val="it-IT"/>
        </w:rPr>
        <w:t xml:space="preserve"> supporto attraverso differenti canali.  Sulla scia del successo dell’iniziale </w:t>
      </w:r>
      <w:r w:rsidR="00046324">
        <w:rPr>
          <w:lang w:val="it-IT"/>
        </w:rPr>
        <w:t>raccolta</w:t>
      </w:r>
      <w:r w:rsidRPr="00651496">
        <w:rPr>
          <w:lang w:val="it-IT"/>
        </w:rPr>
        <w:t xml:space="preserve"> </w:t>
      </w:r>
      <w:hyperlink r:id="rId9" w:history="1">
        <w:r w:rsidRPr="00651496">
          <w:rPr>
            <w:rStyle w:val="Hyperlink"/>
            <w:lang w:val="it-IT"/>
          </w:rPr>
          <w:t>‘Essential Design Tips for Engineers’</w:t>
        </w:r>
      </w:hyperlink>
      <w:r w:rsidRPr="00651496">
        <w:rPr>
          <w:lang w:val="it-IT"/>
        </w:rPr>
        <w:t xml:space="preserve">, Premier Farnell </w:t>
      </w:r>
      <w:r w:rsidR="00046324">
        <w:rPr>
          <w:lang w:val="it-IT"/>
        </w:rPr>
        <w:t xml:space="preserve"> ha realizzato un</w:t>
      </w:r>
      <w:r w:rsidR="00347FC5">
        <w:rPr>
          <w:lang w:val="it-IT"/>
        </w:rPr>
        <w:t>a seconda raccolta interamente dedicata</w:t>
      </w:r>
      <w:r w:rsidR="00046324">
        <w:rPr>
          <w:lang w:val="it-IT"/>
        </w:rPr>
        <w:t xml:space="preserve"> alla</w:t>
      </w:r>
      <w:r w:rsidRPr="00651496">
        <w:rPr>
          <w:lang w:val="it-IT"/>
        </w:rPr>
        <w:t xml:space="preserve"> progettazione Embedded.</w:t>
      </w:r>
    </w:p>
    <w:p w:rsidR="00F620DE" w:rsidRPr="00651496" w:rsidRDefault="00F56BC1" w:rsidP="00492F1C">
      <w:pPr>
        <w:rPr>
          <w:lang w:val="it-IT"/>
        </w:rPr>
      </w:pPr>
      <w:r w:rsidRPr="00651496">
        <w:rPr>
          <w:lang w:val="it-IT"/>
        </w:rPr>
        <w:t xml:space="preserve">Quale principale fonte a livello mondiale di prodotti, supporto e partnership di produzione esclusivi, Premier Farnell è nella condizione ottimale per offrire supporto ai progettisti per </w:t>
      </w:r>
      <w:r w:rsidR="002936B8">
        <w:rPr>
          <w:lang w:val="it-IT"/>
        </w:rPr>
        <w:t>applicazioni</w:t>
      </w:r>
      <w:r w:rsidR="00046324">
        <w:rPr>
          <w:lang w:val="it-IT"/>
        </w:rPr>
        <w:t xml:space="preserve"> </w:t>
      </w:r>
      <w:r w:rsidRPr="00651496">
        <w:rPr>
          <w:lang w:val="it-IT"/>
        </w:rPr>
        <w:t xml:space="preserve">embedded. Data la rapida e continua espansione degli spazi embedded, anche la domanda di funzionalità </w:t>
      </w:r>
      <w:r w:rsidRPr="00651496">
        <w:rPr>
          <w:i/>
          <w:lang w:val="it-IT"/>
        </w:rPr>
        <w:t>single board computing</w:t>
      </w:r>
      <w:r w:rsidRPr="00651496">
        <w:rPr>
          <w:lang w:val="it-IT"/>
        </w:rPr>
        <w:t xml:space="preserve"> è in crescita.  A conferma di questo, AVID e</w:t>
      </w:r>
      <w:r w:rsidR="005663E4">
        <w:rPr>
          <w:lang w:val="it-IT"/>
        </w:rPr>
        <w:t>d</w:t>
      </w:r>
      <w:r w:rsidRPr="00651496">
        <w:rPr>
          <w:lang w:val="it-IT"/>
        </w:rPr>
        <w:t xml:space="preserve"> Embest, parte del gruppo Premier Farnell, </w:t>
      </w:r>
      <w:r w:rsidR="00347FC5">
        <w:rPr>
          <w:lang w:val="it-IT"/>
        </w:rPr>
        <w:t>sfruttano</w:t>
      </w:r>
      <w:r w:rsidRPr="00651496">
        <w:rPr>
          <w:lang w:val="it-IT"/>
        </w:rPr>
        <w:t xml:space="preserve"> </w:t>
      </w:r>
      <w:r w:rsidR="00347FC5">
        <w:rPr>
          <w:lang w:val="it-IT"/>
        </w:rPr>
        <w:t>le sinergie</w:t>
      </w:r>
      <w:r w:rsidRPr="00651496">
        <w:rPr>
          <w:lang w:val="it-IT"/>
        </w:rPr>
        <w:t xml:space="preserve"> dei loro accordi esclusivi con i produttori al fine di offrire un servizio di personalizzazione </w:t>
      </w:r>
      <w:r w:rsidR="00046324">
        <w:rPr>
          <w:lang w:val="it-IT"/>
        </w:rPr>
        <w:t>per</w:t>
      </w:r>
      <w:r w:rsidRPr="00651496">
        <w:rPr>
          <w:lang w:val="it-IT"/>
        </w:rPr>
        <w:t xml:space="preserve"> applicazioni industriali e commerciali. </w:t>
      </w:r>
    </w:p>
    <w:p w:rsidR="00F620DE" w:rsidRPr="00651496" w:rsidRDefault="00347FC5" w:rsidP="00492F1C">
      <w:pPr>
        <w:rPr>
          <w:lang w:val="it-IT"/>
        </w:rPr>
      </w:pPr>
      <w:r>
        <w:rPr>
          <w:lang w:val="it-IT"/>
        </w:rPr>
        <w:t>I</w:t>
      </w:r>
      <w:r w:rsidRPr="00046324">
        <w:rPr>
          <w:lang w:val="it-IT"/>
        </w:rPr>
        <w:t>n Germania</w:t>
      </w:r>
      <w:r w:rsidR="00F56BC1" w:rsidRPr="00651496">
        <w:rPr>
          <w:lang w:val="it-IT"/>
        </w:rPr>
        <w:t xml:space="preserve"> Premier Farnell ha collaborato con Hilscher Gesellschaft für Systemautomation</w:t>
      </w:r>
      <w:r w:rsidR="005663E4">
        <w:rPr>
          <w:lang w:val="it-IT"/>
        </w:rPr>
        <w:t xml:space="preserve"> </w:t>
      </w:r>
      <w:r w:rsidR="00F56BC1" w:rsidRPr="00651496">
        <w:rPr>
          <w:lang w:val="it-IT"/>
        </w:rPr>
        <w:t xml:space="preserve">mbH </w:t>
      </w:r>
      <w:r w:rsidR="00046324">
        <w:rPr>
          <w:lang w:val="it-IT"/>
        </w:rPr>
        <w:t>combinando</w:t>
      </w:r>
      <w:r w:rsidR="00F56BC1" w:rsidRPr="00651496">
        <w:rPr>
          <w:lang w:val="it-IT"/>
        </w:rPr>
        <w:t xml:space="preserve"> Raspberry Pi con il chip di rete netX di Hilscher su un fattore di forma personalizzato</w:t>
      </w:r>
      <w:r>
        <w:rPr>
          <w:lang w:val="it-IT"/>
        </w:rPr>
        <w:t>,</w:t>
      </w:r>
      <w:r w:rsidR="00F56BC1" w:rsidRPr="00651496">
        <w:rPr>
          <w:lang w:val="it-IT"/>
        </w:rPr>
        <w:t xml:space="preserve"> al fine di creare un Edge Gateway idoneo ad ambienti industriali. Questo progetto dimostra </w:t>
      </w:r>
      <w:r w:rsidR="00046324">
        <w:rPr>
          <w:lang w:val="it-IT"/>
        </w:rPr>
        <w:t>che</w:t>
      </w:r>
      <w:r w:rsidR="00F56BC1" w:rsidRPr="00651496">
        <w:rPr>
          <w:lang w:val="it-IT"/>
        </w:rPr>
        <w:t xml:space="preserve"> </w:t>
      </w:r>
      <w:r w:rsidR="00046324">
        <w:rPr>
          <w:lang w:val="it-IT"/>
        </w:rPr>
        <w:t>la collaborazione</w:t>
      </w:r>
      <w:r w:rsidR="00F56BC1" w:rsidRPr="00651496">
        <w:rPr>
          <w:lang w:val="it-IT"/>
        </w:rPr>
        <w:t xml:space="preserve"> con </w:t>
      </w:r>
      <w:r w:rsidR="00046324">
        <w:rPr>
          <w:lang w:val="it-IT"/>
        </w:rPr>
        <w:t>l’</w:t>
      </w:r>
      <w:r w:rsidR="00F56BC1" w:rsidRPr="00651496">
        <w:rPr>
          <w:lang w:val="it-IT"/>
        </w:rPr>
        <w:t xml:space="preserve">azienda </w:t>
      </w:r>
      <w:r w:rsidR="00046324">
        <w:rPr>
          <w:lang w:val="it-IT"/>
        </w:rPr>
        <w:t>dalle</w:t>
      </w:r>
      <w:r w:rsidR="00F56BC1" w:rsidRPr="00651496">
        <w:rPr>
          <w:lang w:val="it-IT"/>
        </w:rPr>
        <w:t xml:space="preserve"> </w:t>
      </w:r>
      <w:r w:rsidR="00046324">
        <w:rPr>
          <w:lang w:val="it-IT"/>
        </w:rPr>
        <w:t xml:space="preserve">primissime </w:t>
      </w:r>
      <w:r w:rsidR="00F56BC1" w:rsidRPr="00651496">
        <w:rPr>
          <w:lang w:val="it-IT"/>
        </w:rPr>
        <w:t xml:space="preserve">fasi di progettazione </w:t>
      </w:r>
      <w:r w:rsidR="00046324">
        <w:rPr>
          <w:lang w:val="it-IT"/>
        </w:rPr>
        <w:t>sino alla</w:t>
      </w:r>
      <w:r w:rsidR="00F56BC1" w:rsidRPr="00651496">
        <w:rPr>
          <w:lang w:val="it-IT"/>
        </w:rPr>
        <w:t xml:space="preserve"> produzione</w:t>
      </w:r>
      <w:r w:rsidR="00046324">
        <w:rPr>
          <w:lang w:val="it-IT"/>
        </w:rPr>
        <w:t xml:space="preserve"> può portare a storie di successo</w:t>
      </w:r>
      <w:r w:rsidR="00F56BC1" w:rsidRPr="00651496">
        <w:rPr>
          <w:lang w:val="it-IT"/>
        </w:rPr>
        <w:t xml:space="preserve">. Premier Farnell ha offerto la flessibilità </w:t>
      </w:r>
      <w:r>
        <w:rPr>
          <w:lang w:val="it-IT"/>
        </w:rPr>
        <w:t>di</w:t>
      </w:r>
      <w:r w:rsidR="00F56BC1" w:rsidRPr="00651496">
        <w:rPr>
          <w:lang w:val="it-IT"/>
        </w:rPr>
        <w:t xml:space="preserve"> creare una soluzione su misura più conveniente </w:t>
      </w:r>
      <w:r w:rsidR="002936B8">
        <w:rPr>
          <w:lang w:val="it-IT"/>
        </w:rPr>
        <w:t xml:space="preserve">rispetto al </w:t>
      </w:r>
      <w:r w:rsidR="00F56BC1" w:rsidRPr="00651496">
        <w:rPr>
          <w:lang w:val="it-IT"/>
        </w:rPr>
        <w:t xml:space="preserve"> progettare una scheda da zero.  Premier Farnell ha una profonda esperienza </w:t>
      </w:r>
      <w:r>
        <w:rPr>
          <w:lang w:val="it-IT"/>
        </w:rPr>
        <w:t xml:space="preserve">in fatto </w:t>
      </w:r>
      <w:r w:rsidR="00F56BC1" w:rsidRPr="00651496">
        <w:rPr>
          <w:lang w:val="it-IT"/>
        </w:rPr>
        <w:t>di collaborazioni, dalle start-up fino al più grande produttore di semiconduttori</w:t>
      </w:r>
      <w:r w:rsidR="002936B8">
        <w:rPr>
          <w:lang w:val="it-IT"/>
        </w:rPr>
        <w:t>,</w:t>
      </w:r>
      <w:r w:rsidR="00F56BC1" w:rsidRPr="00651496">
        <w:rPr>
          <w:lang w:val="it-IT"/>
        </w:rPr>
        <w:t xml:space="preserve"> ed è quindi in grado di offrire un supporto </w:t>
      </w:r>
      <w:r w:rsidR="00BB50E5">
        <w:rPr>
          <w:lang w:val="it-IT"/>
        </w:rPr>
        <w:t>di</w:t>
      </w:r>
      <w:r w:rsidR="00F56BC1" w:rsidRPr="00651496">
        <w:rPr>
          <w:lang w:val="it-IT"/>
        </w:rPr>
        <w:t xml:space="preserve"> progettazione</w:t>
      </w:r>
      <w:r w:rsidR="00BB50E5">
        <w:rPr>
          <w:lang w:val="it-IT"/>
        </w:rPr>
        <w:t xml:space="preserve"> completo</w:t>
      </w:r>
      <w:r w:rsidR="00F56BC1" w:rsidRPr="00651496">
        <w:rPr>
          <w:lang w:val="it-IT"/>
        </w:rPr>
        <w:t xml:space="preserve">, specialmente </w:t>
      </w:r>
      <w:r>
        <w:rPr>
          <w:lang w:val="it-IT"/>
        </w:rPr>
        <w:t xml:space="preserve">in caso di </w:t>
      </w:r>
      <w:r w:rsidR="00F56BC1" w:rsidRPr="00651496">
        <w:rPr>
          <w:lang w:val="it-IT"/>
        </w:rPr>
        <w:t>progett</w:t>
      </w:r>
      <w:r>
        <w:rPr>
          <w:lang w:val="it-IT"/>
        </w:rPr>
        <w:t>i</w:t>
      </w:r>
      <w:r w:rsidR="00F56BC1" w:rsidRPr="00651496">
        <w:rPr>
          <w:lang w:val="it-IT"/>
        </w:rPr>
        <w:t xml:space="preserve"> </w:t>
      </w:r>
      <w:r>
        <w:rPr>
          <w:lang w:val="it-IT"/>
        </w:rPr>
        <w:t>con</w:t>
      </w:r>
      <w:r w:rsidR="00F56BC1" w:rsidRPr="00651496">
        <w:rPr>
          <w:lang w:val="it-IT"/>
        </w:rPr>
        <w:t xml:space="preserve"> esigenze potenzialmente molto complesse.</w:t>
      </w:r>
    </w:p>
    <w:p w:rsidR="005C5891" w:rsidRPr="00651496" w:rsidRDefault="00F56BC1" w:rsidP="00470B8A">
      <w:pPr>
        <w:rPr>
          <w:lang w:val="it-IT"/>
        </w:rPr>
      </w:pPr>
      <w:r w:rsidRPr="00651496">
        <w:rPr>
          <w:lang w:val="it-IT"/>
        </w:rPr>
        <w:t xml:space="preserve">La raccolta </w:t>
      </w:r>
      <w:r w:rsidR="00347FC5">
        <w:rPr>
          <w:lang w:val="it-IT"/>
        </w:rPr>
        <w:t>di</w:t>
      </w:r>
      <w:r w:rsidRPr="00651496">
        <w:rPr>
          <w:lang w:val="it-IT"/>
        </w:rPr>
        <w:t xml:space="preserve"> suggerimenti per la progettazione offre </w:t>
      </w:r>
      <w:r w:rsidR="00046324">
        <w:rPr>
          <w:lang w:val="it-IT"/>
        </w:rPr>
        <w:t>a</w:t>
      </w:r>
      <w:r w:rsidR="00BB50E5">
        <w:rPr>
          <w:lang w:val="it-IT"/>
        </w:rPr>
        <w:t>gli</w:t>
      </w:r>
      <w:r w:rsidR="00046324">
        <w:rPr>
          <w:lang w:val="it-IT"/>
        </w:rPr>
        <w:t xml:space="preserve"> </w:t>
      </w:r>
      <w:r w:rsidRPr="00651496">
        <w:rPr>
          <w:lang w:val="it-IT"/>
        </w:rPr>
        <w:t xml:space="preserve">ingegneri </w:t>
      </w:r>
      <w:r w:rsidR="00046324">
        <w:rPr>
          <w:lang w:val="it-IT"/>
        </w:rPr>
        <w:t>progettisti</w:t>
      </w:r>
      <w:r w:rsidRPr="00651496">
        <w:rPr>
          <w:lang w:val="it-IT"/>
        </w:rPr>
        <w:t xml:space="preserve"> suggerimenti progettuali, rispecchiando così le sfide affrontate </w:t>
      </w:r>
      <w:r w:rsidR="00046324">
        <w:rPr>
          <w:lang w:val="it-IT"/>
        </w:rPr>
        <w:t>in caso di</w:t>
      </w:r>
      <w:r w:rsidRPr="00651496">
        <w:rPr>
          <w:lang w:val="it-IT"/>
        </w:rPr>
        <w:t xml:space="preserve"> applicazioni embedded. Molti dei membri del team Premier Farnell sono essi stessi ingegneri e nella posizione ideale per comprendere di quali informazioni e risorse i colleghi progettisti abbiano bisogno.</w:t>
      </w:r>
    </w:p>
    <w:p w:rsidR="00E50AA8" w:rsidRPr="00651496" w:rsidRDefault="00347FC5" w:rsidP="00492F1C">
      <w:pPr>
        <w:rPr>
          <w:lang w:val="it-IT"/>
        </w:rPr>
      </w:pPr>
      <w:r>
        <w:rPr>
          <w:lang w:val="it-IT"/>
        </w:rPr>
        <w:t xml:space="preserve">La prossima edizione </w:t>
      </w:r>
      <w:r w:rsidR="00BB50E5">
        <w:rPr>
          <w:lang w:val="it-IT"/>
        </w:rPr>
        <w:t>riguarderà</w:t>
      </w:r>
      <w:r>
        <w:rPr>
          <w:lang w:val="it-IT"/>
        </w:rPr>
        <w:t xml:space="preserve"> il mondo dei </w:t>
      </w:r>
      <w:r w:rsidRPr="00046324">
        <w:rPr>
          <w:i/>
          <w:lang w:val="it-IT"/>
        </w:rPr>
        <w:t>Maker</w:t>
      </w:r>
      <w:r w:rsidR="002936B8">
        <w:rPr>
          <w:i/>
          <w:lang w:val="it-IT"/>
        </w:rPr>
        <w:t>.</w:t>
      </w:r>
      <w:r>
        <w:rPr>
          <w:i/>
          <w:lang w:val="it-IT"/>
        </w:rPr>
        <w:t xml:space="preserve"> </w:t>
      </w:r>
      <w:r>
        <w:rPr>
          <w:lang w:val="it-IT"/>
        </w:rPr>
        <w:t xml:space="preserve"> </w:t>
      </w:r>
      <w:r w:rsidR="00F56BC1" w:rsidRPr="00651496">
        <w:rPr>
          <w:lang w:val="it-IT"/>
        </w:rPr>
        <w:t>Premier Farnell e la comunità element14 stanno</w:t>
      </w:r>
      <w:r w:rsidR="00BB50E5" w:rsidRPr="00F56BC1">
        <w:rPr>
          <w:lang w:val="it-IT"/>
        </w:rPr>
        <w:t>, infatti,</w:t>
      </w:r>
      <w:r w:rsidR="00F56BC1" w:rsidRPr="00651496">
        <w:rPr>
          <w:lang w:val="it-IT"/>
        </w:rPr>
        <w:t xml:space="preserve"> chiedendo ai </w:t>
      </w:r>
      <w:r w:rsidR="00F56BC1" w:rsidRPr="00651496">
        <w:rPr>
          <w:i/>
          <w:lang w:val="it-IT"/>
        </w:rPr>
        <w:t>Maker</w:t>
      </w:r>
      <w:r w:rsidR="00F56BC1" w:rsidRPr="00651496">
        <w:rPr>
          <w:lang w:val="it-IT"/>
        </w:rPr>
        <w:t xml:space="preserve"> di tutto il mondo di contribuire con </w:t>
      </w:r>
      <w:r>
        <w:rPr>
          <w:lang w:val="it-IT"/>
        </w:rPr>
        <w:t>i propri suggerimenti</w:t>
      </w:r>
      <w:r w:rsidR="00F56BC1" w:rsidRPr="00651496">
        <w:rPr>
          <w:lang w:val="it-IT"/>
        </w:rPr>
        <w:t xml:space="preserve">. </w:t>
      </w:r>
      <w:r>
        <w:rPr>
          <w:lang w:val="it-IT"/>
        </w:rPr>
        <w:t>Per maggiori informazioni è possibile visitare il sito</w:t>
      </w:r>
      <w:r w:rsidR="00651496">
        <w:rPr>
          <w:lang w:val="it-IT"/>
        </w:rPr>
        <w:t xml:space="preserve"> </w:t>
      </w:r>
      <w:hyperlink r:id="rId10" w:anchor="217690" w:history="1">
        <w:r w:rsidR="00651496">
          <w:rPr>
            <w:rStyle w:val="Hyperlink"/>
            <w:lang w:val="it-IT"/>
          </w:rPr>
          <w:t>element14 community</w:t>
        </w:r>
      </w:hyperlink>
    </w:p>
    <w:p w:rsidR="004E51BF" w:rsidRPr="00651496" w:rsidRDefault="004E51BF" w:rsidP="004E51BF">
      <w:pPr>
        <w:pStyle w:val="ColorfulList-Accent11"/>
        <w:spacing w:after="0" w:line="240" w:lineRule="auto"/>
        <w:ind w:left="0"/>
        <w:rPr>
          <w:rFonts w:asciiTheme="minorHAnsi" w:hAnsiTheme="minorHAnsi" w:cs="Arial"/>
          <w:b/>
          <w:color w:val="000000"/>
          <w:sz w:val="20"/>
          <w:szCs w:val="20"/>
          <w:u w:val="single"/>
          <w:lang w:val="it-IT"/>
        </w:rPr>
      </w:pPr>
    </w:p>
    <w:p w:rsidR="00901CE0" w:rsidRPr="00651496" w:rsidRDefault="00901CE0" w:rsidP="004E51BF">
      <w:pPr>
        <w:pStyle w:val="ColorfulList-Accent11"/>
        <w:spacing w:after="0" w:line="240" w:lineRule="auto"/>
        <w:ind w:left="0"/>
        <w:rPr>
          <w:rFonts w:asciiTheme="minorHAnsi" w:hAnsiTheme="minorHAnsi" w:cs="Arial"/>
          <w:b/>
          <w:color w:val="000000"/>
          <w:sz w:val="20"/>
          <w:szCs w:val="20"/>
          <w:u w:val="single"/>
          <w:lang w:val="it-IT"/>
        </w:rPr>
      </w:pPr>
    </w:p>
    <w:p w:rsidR="000E5F64" w:rsidRPr="00364B1A" w:rsidRDefault="000E5F64" w:rsidP="000E5F64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szCs w:val="20"/>
          <w:lang w:val="it-IT"/>
        </w:rPr>
      </w:pPr>
      <w:r w:rsidRPr="00364B1A">
        <w:rPr>
          <w:rFonts w:asciiTheme="minorHAnsi" w:hAnsiTheme="minorHAnsi" w:cs="Arial"/>
          <w:b/>
          <w:color w:val="000000"/>
          <w:szCs w:val="20"/>
          <w:lang w:val="it-IT"/>
        </w:rPr>
        <w:t>** Fine**</w:t>
      </w:r>
    </w:p>
    <w:p w:rsidR="000E5F64" w:rsidRPr="00364B1A" w:rsidRDefault="000E5F64" w:rsidP="000E5F64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sz w:val="20"/>
          <w:szCs w:val="20"/>
          <w:lang w:val="it-IT"/>
        </w:rPr>
      </w:pPr>
    </w:p>
    <w:p w:rsidR="000E5F64" w:rsidRPr="00364B1A" w:rsidRDefault="000E5F64" w:rsidP="000E5F64">
      <w:pPr>
        <w:rPr>
          <w:b/>
          <w:lang w:val="it-IT"/>
        </w:rPr>
      </w:pPr>
      <w:r w:rsidRPr="00364B1A">
        <w:rPr>
          <w:b/>
          <w:lang w:val="it-IT"/>
        </w:rPr>
        <w:t>Note per gli Editori</w:t>
      </w:r>
    </w:p>
    <w:p w:rsidR="000E5F64" w:rsidRPr="001B754D" w:rsidRDefault="000E5F64" w:rsidP="000E5F64">
      <w:pPr>
        <w:rPr>
          <w:lang w:val="it-IT"/>
        </w:rPr>
      </w:pPr>
      <w:r w:rsidRPr="001B754D">
        <w:rPr>
          <w:lang w:val="it-IT"/>
        </w:rPr>
        <w:t xml:space="preserve">Puoi trovare maggiori informazioni, e immagini di supporto correlate ai contenuti di questo comunicato, </w:t>
      </w:r>
      <w:r>
        <w:rPr>
          <w:lang w:val="it-IT"/>
        </w:rPr>
        <w:t>nella</w:t>
      </w:r>
      <w:r w:rsidRPr="001B754D">
        <w:rPr>
          <w:lang w:val="it-IT"/>
        </w:rPr>
        <w:t xml:space="preserve"> nostr</w:t>
      </w:r>
      <w:r>
        <w:rPr>
          <w:lang w:val="it-IT"/>
        </w:rPr>
        <w:t>a</w:t>
      </w:r>
      <w:r w:rsidRPr="001B754D">
        <w:rPr>
          <w:lang w:val="it-IT"/>
        </w:rPr>
        <w:t xml:space="preserve"> newsroom: </w:t>
      </w:r>
      <w:hyperlink r:id="rId11" w:history="1">
        <w:r w:rsidRPr="001B754D">
          <w:rPr>
            <w:rStyle w:val="Hyperlink"/>
            <w:lang w:val="it-IT"/>
          </w:rPr>
          <w:t>www.element14.com/news</w:t>
        </w:r>
      </w:hyperlink>
    </w:p>
    <w:p w:rsidR="0035033D" w:rsidRDefault="0035033D" w:rsidP="000E5F64">
      <w:pPr>
        <w:rPr>
          <w:b/>
          <w:bCs/>
          <w:u w:val="single"/>
          <w:lang w:val="it-IT"/>
        </w:rPr>
      </w:pPr>
    </w:p>
    <w:p w:rsidR="000E5F64" w:rsidRPr="001B754D" w:rsidRDefault="000E5F64" w:rsidP="000E5F64">
      <w:pPr>
        <w:rPr>
          <w:b/>
          <w:bCs/>
          <w:u w:val="single"/>
          <w:lang w:val="it-IT"/>
        </w:rPr>
      </w:pPr>
      <w:r w:rsidRPr="001B754D">
        <w:rPr>
          <w:b/>
          <w:bCs/>
          <w:u w:val="single"/>
          <w:lang w:val="it-IT"/>
        </w:rPr>
        <w:lastRenderedPageBreak/>
        <w:t>Chi siamo</w:t>
      </w:r>
    </w:p>
    <w:p w:rsidR="000E5F64" w:rsidRPr="001B754D" w:rsidRDefault="000E5F64" w:rsidP="000E5F64">
      <w:pPr>
        <w:rPr>
          <w:lang w:val="it-IT"/>
        </w:rPr>
      </w:pPr>
      <w:bookmarkStart w:id="0" w:name="_GoBack"/>
      <w:bookmarkEnd w:id="0"/>
      <w:r w:rsidRPr="001B754D">
        <w:rPr>
          <w:lang w:val="it-IT"/>
        </w:rPr>
        <w:t xml:space="preserve">Farnell element14 </w:t>
      </w:r>
      <w:r>
        <w:rPr>
          <w:lang w:val="it-IT"/>
        </w:rPr>
        <w:t>fa</w:t>
      </w:r>
      <w:r w:rsidRPr="001B754D">
        <w:rPr>
          <w:lang w:val="it-IT"/>
        </w:rPr>
        <w:t xml:space="preserve"> parte del Gruppo d’Affari </w:t>
      </w:r>
      <w:hyperlink r:id="rId12" w:history="1">
        <w:r w:rsidRPr="001B754D">
          <w:rPr>
            <w:rStyle w:val="Hyperlink"/>
            <w:lang w:val="it-IT"/>
          </w:rPr>
          <w:t xml:space="preserve">Premier Farnell </w:t>
        </w:r>
      </w:hyperlink>
      <w:r w:rsidRPr="001B754D">
        <w:rPr>
          <w:lang w:val="it-IT"/>
        </w:rPr>
        <w:t>, un leader tecnologico globale con oltre 80 anni di esperienza nella distribuzione ad elevato livello di servizi di prodotti tecnologici e soluzioni per la progettazione di sistemi elettronici, produzione, manutenzione e riparazione. Premier Farnell utilizza questa esperienza per supportare la sua vasta base di clienti, che spazia dagli hobbisti a</w:t>
      </w:r>
      <w:r>
        <w:rPr>
          <w:lang w:val="it-IT"/>
        </w:rPr>
        <w:t>gli</w:t>
      </w:r>
      <w:r w:rsidRPr="001B754D">
        <w:rPr>
          <w:lang w:val="it-IT"/>
        </w:rPr>
        <w:t xml:space="preserve"> ingegneri, </w:t>
      </w:r>
      <w:r>
        <w:rPr>
          <w:lang w:val="it-IT"/>
        </w:rPr>
        <w:t>agli addetti alla</w:t>
      </w:r>
      <w:r w:rsidRPr="001B754D">
        <w:rPr>
          <w:lang w:val="it-IT"/>
        </w:rPr>
        <w:t xml:space="preserve"> manutenzione e buyer, quale ‘Development Distributor’, e lavorando con marchi leader e start-up per sviluppare nuovi prodotti per il mercato, aiutando </w:t>
      </w:r>
      <w:r>
        <w:rPr>
          <w:lang w:val="it-IT"/>
        </w:rPr>
        <w:t xml:space="preserve">al contempo </w:t>
      </w:r>
      <w:r w:rsidRPr="001B754D">
        <w:rPr>
          <w:lang w:val="it-IT"/>
        </w:rPr>
        <w:t>il mercato</w:t>
      </w:r>
      <w:r>
        <w:rPr>
          <w:lang w:val="it-IT"/>
        </w:rPr>
        <w:t xml:space="preserve"> stesso</w:t>
      </w:r>
      <w:r w:rsidRPr="001B754D">
        <w:rPr>
          <w:lang w:val="it-IT"/>
        </w:rPr>
        <w:t xml:space="preserve"> </w:t>
      </w:r>
      <w:r>
        <w:rPr>
          <w:lang w:val="it-IT"/>
        </w:rPr>
        <w:t>formando</w:t>
      </w:r>
      <w:r w:rsidRPr="001B754D">
        <w:rPr>
          <w:lang w:val="it-IT"/>
        </w:rPr>
        <w:t xml:space="preserve"> l’attuale e prossima generazione di ingegneri.  </w:t>
      </w:r>
    </w:p>
    <w:p w:rsidR="000E5F64" w:rsidRPr="001B754D" w:rsidRDefault="000E5F64" w:rsidP="000E5F64">
      <w:pPr>
        <w:rPr>
          <w:lang w:val="it-IT"/>
        </w:rPr>
      </w:pPr>
      <w:r w:rsidRPr="001B754D">
        <w:rPr>
          <w:lang w:val="it-IT"/>
        </w:rPr>
        <w:t xml:space="preserve">Premier Farnell ha focalizzato la sua offerta attorno a quattro percorsi centrali dei clienti: </w:t>
      </w:r>
    </w:p>
    <w:p w:rsidR="000E5F64" w:rsidRPr="001B754D" w:rsidRDefault="000E5F64" w:rsidP="000E5F64">
      <w:pPr>
        <w:numPr>
          <w:ilvl w:val="0"/>
          <w:numId w:val="3"/>
        </w:numPr>
        <w:spacing w:after="0" w:line="240" w:lineRule="auto"/>
        <w:rPr>
          <w:lang w:val="it-IT"/>
        </w:rPr>
      </w:pPr>
      <w:r w:rsidRPr="001B754D">
        <w:rPr>
          <w:b/>
          <w:bCs/>
          <w:lang w:val="it-IT"/>
        </w:rPr>
        <w:t xml:space="preserve">Education to Maker </w:t>
      </w:r>
      <w:r w:rsidRPr="001B754D">
        <w:rPr>
          <w:lang w:val="it-IT"/>
        </w:rPr>
        <w:t>–  Premier Farnell è un produttore ufficiale di due delle più conosciute Maker Board, Raspberry Pi e Beaglebone Black, eproduttore esclusivo di schede educative di programmazione come BBC micro:bit e Codebug.  I clienti vengono supportati attraverso element14.com, la più vasta comunità online di ingegneri ed esperti maker; viene inoltre fornito</w:t>
      </w:r>
      <w:r>
        <w:rPr>
          <w:lang w:val="it-IT"/>
        </w:rPr>
        <w:t xml:space="preserve"> </w:t>
      </w:r>
      <w:r w:rsidRPr="001B754D">
        <w:rPr>
          <w:lang w:val="it-IT"/>
        </w:rPr>
        <w:t xml:space="preserve">supporto </w:t>
      </w:r>
      <w:r>
        <w:rPr>
          <w:lang w:val="it-IT"/>
        </w:rPr>
        <w:t>agli</w:t>
      </w:r>
      <w:r w:rsidRPr="001B754D">
        <w:rPr>
          <w:lang w:val="it-IT"/>
        </w:rPr>
        <w:t xml:space="preserve"> educatori e</w:t>
      </w:r>
      <w:r>
        <w:rPr>
          <w:lang w:val="it-IT"/>
        </w:rPr>
        <w:t xml:space="preserve"> ai</w:t>
      </w:r>
      <w:r w:rsidRPr="001B754D">
        <w:rPr>
          <w:lang w:val="it-IT"/>
        </w:rPr>
        <w:t xml:space="preserve"> genitori attraverso il nuovo spazio STEM.</w:t>
      </w:r>
    </w:p>
    <w:p w:rsidR="000E5F64" w:rsidRPr="001B754D" w:rsidRDefault="000E5F64" w:rsidP="000E5F64">
      <w:pPr>
        <w:numPr>
          <w:ilvl w:val="0"/>
          <w:numId w:val="3"/>
        </w:numPr>
        <w:spacing w:after="0" w:line="240" w:lineRule="auto"/>
        <w:rPr>
          <w:lang w:val="it-IT"/>
        </w:rPr>
      </w:pPr>
      <w:r w:rsidRPr="001B754D">
        <w:rPr>
          <w:b/>
          <w:bCs/>
          <w:lang w:val="it-IT"/>
        </w:rPr>
        <w:t xml:space="preserve">Research and Design Services </w:t>
      </w:r>
      <w:r w:rsidRPr="001B754D">
        <w:rPr>
          <w:lang w:val="it-IT"/>
        </w:rPr>
        <w:t xml:space="preserve">-  Premier Farnell è il numero 1 per i Kit di Sviluppo, avendo lavorato con aziende </w:t>
      </w:r>
      <w:r>
        <w:rPr>
          <w:lang w:val="it-IT"/>
        </w:rPr>
        <w:t xml:space="preserve">produttrici </w:t>
      </w:r>
      <w:r w:rsidRPr="001B754D">
        <w:rPr>
          <w:lang w:val="it-IT"/>
        </w:rPr>
        <w:t xml:space="preserve">di semiconduttori leader a livello mondiale per la progettazione e produzione in house delle più recenti schede di sviluppo.  Una profonda comprensione e conoscenza dei più recenti Dispositivi a Semiconduttori disponibili supporta anche la più </w:t>
      </w:r>
      <w:r>
        <w:rPr>
          <w:lang w:val="it-IT"/>
        </w:rPr>
        <w:t>completa</w:t>
      </w:r>
      <w:r w:rsidRPr="001B754D">
        <w:rPr>
          <w:lang w:val="it-IT"/>
        </w:rPr>
        <w:t xml:space="preserve"> assistenza alla progettazione di Premier Farnell, fornendo un servizio simile per i clienti di tutte le dimensioni alla ricerca di ulteriore supporto ingegneristico di progettazione.</w:t>
      </w:r>
    </w:p>
    <w:p w:rsidR="000E5F64" w:rsidRPr="001B754D" w:rsidRDefault="000E5F64" w:rsidP="000E5F64">
      <w:pPr>
        <w:numPr>
          <w:ilvl w:val="0"/>
          <w:numId w:val="3"/>
        </w:numPr>
        <w:spacing w:after="0" w:line="240" w:lineRule="auto"/>
        <w:rPr>
          <w:lang w:val="it-IT"/>
        </w:rPr>
      </w:pPr>
      <w:r w:rsidRPr="001B754D">
        <w:rPr>
          <w:b/>
          <w:bCs/>
          <w:lang w:val="it-IT"/>
        </w:rPr>
        <w:t xml:space="preserve">Design through to Production </w:t>
      </w:r>
      <w:r w:rsidRPr="001B754D">
        <w:rPr>
          <w:lang w:val="it-IT"/>
        </w:rPr>
        <w:t xml:space="preserve">– Premier Farnell fornisce una completa soluzione di progettazione per clienti di produzione, con la più vasta gamma di componenti </w:t>
      </w:r>
      <w:r>
        <w:rPr>
          <w:lang w:val="it-IT"/>
        </w:rPr>
        <w:t>Semiconduttori e Passivi</w:t>
      </w:r>
      <w:r w:rsidRPr="001B754D">
        <w:rPr>
          <w:lang w:val="it-IT"/>
        </w:rPr>
        <w:t xml:space="preserve"> disponibili a magazzino, una line card di livello mondiale, spedizione </w:t>
      </w:r>
      <w:r>
        <w:rPr>
          <w:lang w:val="it-IT"/>
        </w:rPr>
        <w:t>in giornata</w:t>
      </w:r>
      <w:r w:rsidRPr="001B754D">
        <w:rPr>
          <w:lang w:val="it-IT"/>
        </w:rPr>
        <w:t>, una forte offerta di interconnessione a livello scheda e</w:t>
      </w:r>
      <w:r>
        <w:rPr>
          <w:lang w:val="it-IT"/>
        </w:rPr>
        <w:t xml:space="preserve"> un’offerta</w:t>
      </w:r>
      <w:r w:rsidRPr="001B754D">
        <w:rPr>
          <w:lang w:val="it-IT"/>
        </w:rPr>
        <w:t xml:space="preserve"> Elettromeccanica</w:t>
      </w:r>
      <w:r>
        <w:rPr>
          <w:lang w:val="it-IT"/>
        </w:rPr>
        <w:t xml:space="preserve"> crescente</w:t>
      </w:r>
      <w:r w:rsidRPr="001B754D">
        <w:rPr>
          <w:lang w:val="it-IT"/>
        </w:rPr>
        <w:t>.  Inoltre, ha le capacità di supporto tecnico per soddisfare tutte le esigenze dei clienti, dal semplice riferimento incrociato alla progettazione complessa.</w:t>
      </w:r>
    </w:p>
    <w:p w:rsidR="000E5F64" w:rsidRPr="001B754D" w:rsidRDefault="000E5F64" w:rsidP="000E5F64">
      <w:pPr>
        <w:numPr>
          <w:ilvl w:val="0"/>
          <w:numId w:val="3"/>
        </w:numPr>
        <w:spacing w:after="0" w:line="240" w:lineRule="auto"/>
        <w:rPr>
          <w:lang w:val="it-IT"/>
        </w:rPr>
      </w:pPr>
      <w:r w:rsidRPr="001B754D">
        <w:rPr>
          <w:b/>
          <w:bCs/>
          <w:lang w:val="it-IT"/>
        </w:rPr>
        <w:t xml:space="preserve">Bench to Board </w:t>
      </w:r>
      <w:r w:rsidRPr="001B754D">
        <w:rPr>
          <w:lang w:val="it-IT"/>
        </w:rPr>
        <w:t xml:space="preserve">– Premier Farnell offre una delle gamme di apparecchiature per analisi e misurazione più ampia e completa oggi sul mercato ed una line card di prodotti leader per tutti gli strumenti e forniture per produzione, in grado di supportare i clienti </w:t>
      </w:r>
      <w:r>
        <w:rPr>
          <w:lang w:val="it-IT"/>
        </w:rPr>
        <w:t>dai test iniziali del</w:t>
      </w:r>
      <w:r w:rsidRPr="001B754D">
        <w:rPr>
          <w:lang w:val="it-IT"/>
        </w:rPr>
        <w:t xml:space="preserve"> progetto alla fornitura di attività di manutenzione</w:t>
      </w:r>
      <w:r>
        <w:rPr>
          <w:lang w:val="it-IT"/>
        </w:rPr>
        <w:t>,</w:t>
      </w:r>
      <w:r w:rsidRPr="001B754D">
        <w:rPr>
          <w:lang w:val="it-IT"/>
        </w:rPr>
        <w:t xml:space="preserve"> essenziale per mantenere attivo il funzionamento.  </w:t>
      </w:r>
    </w:p>
    <w:p w:rsidR="000E5F64" w:rsidRPr="001B754D" w:rsidRDefault="000E5F64" w:rsidP="000E5F64">
      <w:pPr>
        <w:ind w:left="1440"/>
        <w:rPr>
          <w:lang w:val="it-IT"/>
        </w:rPr>
      </w:pPr>
    </w:p>
    <w:p w:rsidR="000E5F64" w:rsidRPr="001B754D" w:rsidRDefault="000E5F64" w:rsidP="000E5F64">
      <w:pPr>
        <w:rPr>
          <w:shd w:val="clear" w:color="auto" w:fill="FFFFFF"/>
          <w:lang w:val="it-IT"/>
        </w:rPr>
      </w:pPr>
      <w:r w:rsidRPr="001B754D">
        <w:rPr>
          <w:lang w:val="it-IT"/>
        </w:rPr>
        <w:t xml:space="preserve">Premier Farnell </w:t>
      </w:r>
      <w:r w:rsidRPr="001B754D">
        <w:rPr>
          <w:shd w:val="clear" w:color="auto" w:fill="FFFFFF"/>
          <w:lang w:val="it-IT"/>
        </w:rPr>
        <w:t xml:space="preserve">è una business unit di Avnet Electronics Marketing, il gruppo operativo dei componenti  di Avnet Inc., (NYSE:AVT). Premier Farnell </w:t>
      </w:r>
      <w:r w:rsidRPr="001B754D">
        <w:rPr>
          <w:lang w:val="it-IT"/>
        </w:rPr>
        <w:t>opera come </w:t>
      </w:r>
      <w:hyperlink r:id="rId13" w:history="1">
        <w:r w:rsidRPr="001B754D">
          <w:rPr>
            <w:rStyle w:val="Hyperlink"/>
            <w:lang w:val="it-IT"/>
          </w:rPr>
          <w:t>Farnell element14</w:t>
        </w:r>
      </w:hyperlink>
      <w:r w:rsidRPr="001B754D">
        <w:rPr>
          <w:lang w:val="it-IT"/>
        </w:rPr>
        <w:t> in Europa, </w:t>
      </w:r>
      <w:hyperlink r:id="rId14" w:history="1">
        <w:r w:rsidRPr="001B754D">
          <w:rPr>
            <w:rStyle w:val="Hyperlink"/>
            <w:lang w:val="it-IT"/>
          </w:rPr>
          <w:t>Newark element14</w:t>
        </w:r>
      </w:hyperlink>
      <w:r w:rsidRPr="001B754D">
        <w:rPr>
          <w:lang w:val="it-IT"/>
        </w:rPr>
        <w:t xml:space="preserve"> in Nord America, ed </w:t>
      </w:r>
      <w:hyperlink r:id="rId15" w:history="1">
        <w:r w:rsidRPr="001B754D">
          <w:rPr>
            <w:rStyle w:val="Hyperlink"/>
            <w:lang w:val="it-IT"/>
          </w:rPr>
          <w:t>element14</w:t>
        </w:r>
      </w:hyperlink>
      <w:r w:rsidRPr="001B754D">
        <w:rPr>
          <w:lang w:val="it-IT"/>
        </w:rPr>
        <w:t> in tutta l’Asia del Pacifico</w:t>
      </w:r>
      <w:r w:rsidRPr="001B754D">
        <w:rPr>
          <w:shd w:val="clear" w:color="auto" w:fill="FFFFFF"/>
          <w:lang w:val="it-IT"/>
        </w:rPr>
        <w:t>.</w:t>
      </w:r>
      <w:r w:rsidRPr="001B754D">
        <w:rPr>
          <w:lang w:val="it-IT"/>
        </w:rPr>
        <w:t xml:space="preserve"> Premier Farnell Group è supportato da una supply chain globale di oltre 3.500 fornitori ed ha un ampio profilo di magazzino sviluppato per anticipare e soddisfare le esigenze di clienti </w:t>
      </w:r>
      <w:r>
        <w:rPr>
          <w:lang w:val="it-IT"/>
        </w:rPr>
        <w:t>affamati d’innovazione,</w:t>
      </w:r>
      <w:r w:rsidRPr="001B754D">
        <w:rPr>
          <w:lang w:val="it-IT"/>
        </w:rPr>
        <w:t xml:space="preserve"> ovunque essi siano.</w:t>
      </w:r>
    </w:p>
    <w:p w:rsidR="000E5F64" w:rsidRPr="00D371E2" w:rsidRDefault="000E5F64" w:rsidP="000E5F64">
      <w:pPr>
        <w:shd w:val="clear" w:color="auto" w:fill="FFFFFF"/>
      </w:pPr>
      <w:r>
        <w:t>Aspetti salienti</w:t>
      </w:r>
      <w:r w:rsidRPr="00D371E2">
        <w:t>:</w:t>
      </w:r>
    </w:p>
    <w:p w:rsidR="000E5F64" w:rsidRPr="001B754D" w:rsidRDefault="000E5F64" w:rsidP="000E5F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lang w:val="it-IT"/>
        </w:rPr>
      </w:pPr>
      <w:r w:rsidRPr="001B754D">
        <w:rPr>
          <w:lang w:val="it-IT"/>
        </w:rPr>
        <w:t xml:space="preserve">Operatività in 38 Stati e siti web transazionali in 43 lingue </w:t>
      </w:r>
    </w:p>
    <w:p w:rsidR="000E5F64" w:rsidRPr="00D371E2" w:rsidRDefault="000E5F64" w:rsidP="000E5F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contextualSpacing w:val="0"/>
      </w:pPr>
      <w:r>
        <w:t>Oltre 3.</w:t>
      </w:r>
      <w:r w:rsidRPr="00D371E2">
        <w:t xml:space="preserve">500 </w:t>
      </w:r>
      <w:r>
        <w:t>fornitori leader</w:t>
      </w:r>
    </w:p>
    <w:p w:rsidR="000E5F64" w:rsidRPr="001B754D" w:rsidRDefault="000E5F64" w:rsidP="000E5F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lang w:val="it-IT"/>
        </w:rPr>
      </w:pPr>
      <w:r w:rsidRPr="001B754D">
        <w:rPr>
          <w:lang w:val="it-IT"/>
        </w:rPr>
        <w:t>Oltre 650.000 prodotti a magazzino, con accesso ad altri oltre quattro milioni su richiesta</w:t>
      </w:r>
    </w:p>
    <w:p w:rsidR="000E5F64" w:rsidRPr="00D371E2" w:rsidRDefault="000E5F64" w:rsidP="000E5F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contextualSpacing w:val="0"/>
      </w:pPr>
      <w:r>
        <w:lastRenderedPageBreak/>
        <w:t>Oltre</w:t>
      </w:r>
      <w:r w:rsidRPr="00D371E2">
        <w:t xml:space="preserve"> 440</w:t>
      </w:r>
      <w:r>
        <w:t>.</w:t>
      </w:r>
      <w:r w:rsidRPr="00D371E2">
        <w:t>000 memb</w:t>
      </w:r>
      <w:r>
        <w:t>ri</w:t>
      </w:r>
      <w:r w:rsidRPr="00D371E2">
        <w:t xml:space="preserve"> </w:t>
      </w:r>
      <w:r>
        <w:t>della comunità</w:t>
      </w:r>
      <w:r w:rsidRPr="00D371E2">
        <w:t xml:space="preserve"> element14 </w:t>
      </w:r>
    </w:p>
    <w:p w:rsidR="000E5F64" w:rsidRPr="001B754D" w:rsidRDefault="000E5F64" w:rsidP="000E5F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lang w:val="it-IT"/>
        </w:rPr>
      </w:pPr>
      <w:r w:rsidRPr="001B754D">
        <w:rPr>
          <w:lang w:val="it-IT"/>
        </w:rPr>
        <w:t xml:space="preserve">Leader nell’offerta di informazioni sulle </w:t>
      </w:r>
      <w:hyperlink r:id="rId16" w:history="1">
        <w:r w:rsidRPr="001B754D">
          <w:rPr>
            <w:rStyle w:val="Hyperlink"/>
            <w:lang w:val="it-IT"/>
          </w:rPr>
          <w:t>normative</w:t>
        </w:r>
      </w:hyperlink>
      <w:r w:rsidRPr="001B754D">
        <w:rPr>
          <w:lang w:val="it-IT"/>
        </w:rPr>
        <w:t xml:space="preserve"> REACH, Conflict Minerals e EU RoHS </w:t>
      </w:r>
    </w:p>
    <w:p w:rsidR="000E5F64" w:rsidRPr="001B754D" w:rsidRDefault="000E5F64" w:rsidP="000E5F64">
      <w:pPr>
        <w:shd w:val="clear" w:color="auto" w:fill="FFFFFF"/>
        <w:rPr>
          <w:lang w:val="it-IT"/>
        </w:rPr>
      </w:pPr>
    </w:p>
    <w:p w:rsidR="000E5F64" w:rsidRPr="001B754D" w:rsidRDefault="000E5F64" w:rsidP="000E5F64">
      <w:pPr>
        <w:shd w:val="clear" w:color="auto" w:fill="FFFFFF"/>
        <w:rPr>
          <w:lang w:val="it-IT"/>
        </w:rPr>
      </w:pPr>
      <w:r w:rsidRPr="001B754D">
        <w:rPr>
          <w:lang w:val="it-IT"/>
        </w:rPr>
        <w:t xml:space="preserve">Maggiori informazioni su: </w:t>
      </w:r>
      <w:hyperlink r:id="rId17" w:history="1">
        <w:r w:rsidRPr="001B754D">
          <w:rPr>
            <w:rStyle w:val="Hyperlink"/>
            <w:lang w:val="it-IT"/>
          </w:rPr>
          <w:t>http://www.premierfarnell.com</w:t>
        </w:r>
      </w:hyperlink>
    </w:p>
    <w:p w:rsidR="000E5F64" w:rsidRPr="001B754D" w:rsidRDefault="000E5F64" w:rsidP="000E5F64">
      <w:pPr>
        <w:pStyle w:val="ColorfulList-Accent11"/>
        <w:spacing w:after="0" w:line="240" w:lineRule="auto"/>
        <w:ind w:left="0"/>
        <w:rPr>
          <w:rFonts w:cs="Arial"/>
          <w:color w:val="000000"/>
          <w:szCs w:val="20"/>
          <w:lang w:val="it-IT"/>
        </w:rPr>
      </w:pPr>
      <w:r w:rsidRPr="001B754D">
        <w:rPr>
          <w:rFonts w:cs="Arial"/>
          <w:b/>
          <w:bCs/>
          <w:szCs w:val="20"/>
          <w:lang w:val="it-IT"/>
        </w:rPr>
        <w:t>Agenzia PR per l’Europa:</w:t>
      </w:r>
    </w:p>
    <w:p w:rsidR="000E5F64" w:rsidRPr="001B754D" w:rsidRDefault="000E5F64" w:rsidP="000E5F64">
      <w:pPr>
        <w:spacing w:after="0" w:line="240" w:lineRule="auto"/>
        <w:rPr>
          <w:rFonts w:cs="Arial"/>
          <w:b/>
          <w:bCs/>
          <w:szCs w:val="20"/>
          <w:lang w:val="it-IT"/>
        </w:rPr>
      </w:pPr>
      <w:r>
        <w:rPr>
          <w:rFonts w:cs="Arial"/>
          <w:b/>
          <w:bCs/>
          <w:szCs w:val="20"/>
          <w:lang w:val="it-IT"/>
        </w:rPr>
        <w:t>Freya Ward</w:t>
      </w:r>
    </w:p>
    <w:p w:rsidR="000E5F64" w:rsidRPr="000E5F64" w:rsidRDefault="000E5F64" w:rsidP="000E5F64">
      <w:pPr>
        <w:spacing w:after="0" w:line="240" w:lineRule="auto"/>
        <w:rPr>
          <w:rFonts w:cs="Arial"/>
          <w:b/>
          <w:bCs/>
          <w:szCs w:val="20"/>
        </w:rPr>
      </w:pPr>
      <w:r w:rsidRPr="000E5F64">
        <w:rPr>
          <w:rFonts w:cs="Arial"/>
          <w:b/>
          <w:bCs/>
          <w:szCs w:val="20"/>
        </w:rPr>
        <w:t>Napier Partnership</w:t>
      </w:r>
    </w:p>
    <w:p w:rsidR="000E5F64" w:rsidRPr="000E5F64" w:rsidRDefault="000E5F64" w:rsidP="000E5F64">
      <w:pPr>
        <w:spacing w:after="0" w:line="240" w:lineRule="auto"/>
        <w:rPr>
          <w:rFonts w:cs="Arial"/>
          <w:bCs/>
          <w:szCs w:val="20"/>
        </w:rPr>
      </w:pPr>
      <w:r w:rsidRPr="000E5F64">
        <w:rPr>
          <w:rFonts w:cs="Arial"/>
          <w:bCs/>
          <w:szCs w:val="20"/>
        </w:rPr>
        <w:t>Tel: +44 1243 531123</w:t>
      </w:r>
    </w:p>
    <w:p w:rsidR="000E5F64" w:rsidRPr="000E5F64" w:rsidRDefault="000E5F64" w:rsidP="000E5F64">
      <w:pPr>
        <w:spacing w:after="0" w:line="240" w:lineRule="auto"/>
        <w:rPr>
          <w:rStyle w:val="Hyperlink"/>
          <w:rFonts w:cs="Arial"/>
          <w:szCs w:val="20"/>
        </w:rPr>
      </w:pPr>
      <w:r w:rsidRPr="000E5F64">
        <w:rPr>
          <w:rFonts w:cs="Arial"/>
          <w:bCs/>
          <w:szCs w:val="20"/>
        </w:rPr>
        <w:t>Email:</w:t>
      </w:r>
      <w:hyperlink r:id="rId18" w:history="1">
        <w:r w:rsidRPr="000E5F64">
          <w:rPr>
            <w:rStyle w:val="Hyperlink"/>
            <w:rFonts w:cs="Arial"/>
            <w:szCs w:val="20"/>
          </w:rPr>
          <w:t>freya@napierb2b.com</w:t>
        </w:r>
      </w:hyperlink>
    </w:p>
    <w:p w:rsidR="000E5F64" w:rsidRPr="000E5F64" w:rsidRDefault="000E5F64" w:rsidP="000E5F64">
      <w:pPr>
        <w:spacing w:after="0" w:line="240" w:lineRule="auto"/>
        <w:rPr>
          <w:rFonts w:cs="Arial"/>
          <w:b/>
          <w:bCs/>
          <w:szCs w:val="20"/>
        </w:rPr>
      </w:pPr>
    </w:p>
    <w:p w:rsidR="000E5F64" w:rsidRPr="00861FD3" w:rsidRDefault="000E5F64" w:rsidP="000E5F64">
      <w:pPr>
        <w:spacing w:after="0" w:line="240" w:lineRule="auto"/>
        <w:rPr>
          <w:rFonts w:cs="Arial"/>
          <w:b/>
          <w:bCs/>
          <w:szCs w:val="20"/>
          <w:lang w:val="it-IT"/>
        </w:rPr>
      </w:pPr>
      <w:r w:rsidRPr="00861FD3">
        <w:rPr>
          <w:rFonts w:cs="Arial"/>
          <w:b/>
          <w:bCs/>
          <w:szCs w:val="20"/>
          <w:lang w:val="it-IT"/>
        </w:rPr>
        <w:t>Premier Farnell:</w:t>
      </w:r>
    </w:p>
    <w:p w:rsidR="000E5F64" w:rsidRDefault="000E5F64" w:rsidP="000E5F64">
      <w:pPr>
        <w:spacing w:after="0" w:line="240" w:lineRule="auto"/>
        <w:rPr>
          <w:rFonts w:cs="Arial"/>
          <w:b/>
          <w:bCs/>
          <w:szCs w:val="20"/>
          <w:lang w:val="fr-FR"/>
        </w:rPr>
      </w:pPr>
      <w:r>
        <w:rPr>
          <w:rFonts w:cs="Arial"/>
          <w:b/>
          <w:bCs/>
          <w:szCs w:val="20"/>
          <w:lang w:val="fr-FR"/>
        </w:rPr>
        <w:t>Jen Patterson</w:t>
      </w:r>
    </w:p>
    <w:p w:rsidR="000E5F64" w:rsidRDefault="000E5F64" w:rsidP="000E5F64">
      <w:pPr>
        <w:spacing w:after="0" w:line="240" w:lineRule="auto"/>
        <w:rPr>
          <w:rFonts w:cs="Arial"/>
          <w:b/>
          <w:bCs/>
          <w:szCs w:val="20"/>
          <w:lang w:val="fr-FR"/>
        </w:rPr>
      </w:pPr>
      <w:r>
        <w:rPr>
          <w:rFonts w:cs="Arial"/>
          <w:b/>
          <w:bCs/>
          <w:szCs w:val="20"/>
          <w:lang w:val="fr-FR"/>
        </w:rPr>
        <w:t>European PR Manager</w:t>
      </w:r>
    </w:p>
    <w:p w:rsidR="000E5F64" w:rsidRDefault="000E5F64" w:rsidP="000E5F64">
      <w:pPr>
        <w:spacing w:after="0" w:line="240" w:lineRule="auto"/>
        <w:rPr>
          <w:rFonts w:cs="Arial"/>
          <w:bCs/>
          <w:szCs w:val="20"/>
          <w:lang w:val="de-DE"/>
        </w:rPr>
      </w:pPr>
      <w:r>
        <w:rPr>
          <w:rFonts w:cs="Arial"/>
          <w:bCs/>
          <w:szCs w:val="20"/>
          <w:lang w:val="de-DE"/>
        </w:rPr>
        <w:t>Tel: +44 113 3484904</w:t>
      </w:r>
    </w:p>
    <w:p w:rsidR="000E5F64" w:rsidRDefault="000E5F64" w:rsidP="000E5F64">
      <w:pPr>
        <w:spacing w:after="0" w:line="240" w:lineRule="auto"/>
        <w:rPr>
          <w:rFonts w:cs="Arial"/>
          <w:bCs/>
          <w:szCs w:val="20"/>
          <w:lang w:val="de-DE"/>
        </w:rPr>
      </w:pPr>
      <w:r>
        <w:rPr>
          <w:rFonts w:cs="Arial"/>
          <w:bCs/>
          <w:szCs w:val="20"/>
          <w:lang w:val="de-DE"/>
        </w:rPr>
        <w:t>Email: </w:t>
      </w:r>
      <w:hyperlink r:id="rId19" w:history="1">
        <w:r>
          <w:rPr>
            <w:rStyle w:val="Hyperlink"/>
            <w:rFonts w:cs="Arial"/>
            <w:szCs w:val="20"/>
            <w:lang w:val="de-DE"/>
          </w:rPr>
          <w:t>JPatterson@premierfarnell.com</w:t>
        </w:r>
      </w:hyperlink>
    </w:p>
    <w:p w:rsidR="000E5F64" w:rsidRDefault="000E5F64" w:rsidP="000E5F64"/>
    <w:p w:rsidR="000E5F64" w:rsidRPr="00651496" w:rsidRDefault="000E5F64" w:rsidP="00901CE0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szCs w:val="20"/>
          <w:lang w:val="it-IT"/>
        </w:rPr>
      </w:pPr>
    </w:p>
    <w:sectPr w:rsidR="000E5F64" w:rsidRPr="00651496" w:rsidSect="007E19B1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7D" w:rsidRDefault="004B5C7D" w:rsidP="00F705D3">
      <w:pPr>
        <w:spacing w:after="0" w:line="240" w:lineRule="auto"/>
      </w:pPr>
      <w:r>
        <w:separator/>
      </w:r>
    </w:p>
  </w:endnote>
  <w:endnote w:type="continuationSeparator" w:id="0">
    <w:p w:rsidR="004B5C7D" w:rsidRDefault="004B5C7D" w:rsidP="00F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D5" w:rsidRDefault="002210D7">
    <w:pPr>
      <w:pStyle w:val="Footer"/>
    </w:pPr>
    <w:r>
      <w:t>FAR098</w:t>
    </w:r>
    <w:r w:rsidR="00E904D5">
      <w:t>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7D" w:rsidRDefault="004B5C7D" w:rsidP="00F705D3">
      <w:pPr>
        <w:spacing w:after="0" w:line="240" w:lineRule="auto"/>
      </w:pPr>
      <w:r>
        <w:separator/>
      </w:r>
    </w:p>
  </w:footnote>
  <w:footnote w:type="continuationSeparator" w:id="0">
    <w:p w:rsidR="004B5C7D" w:rsidRDefault="004B5C7D" w:rsidP="00F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7A" w:rsidRDefault="00CD43A6" w:rsidP="00F705D3">
    <w:pPr>
      <w:pStyle w:val="Header"/>
      <w:jc w:val="right"/>
    </w:pPr>
    <w:r w:rsidRPr="00D86426">
      <w:rPr>
        <w:noProof/>
        <w:lang w:eastAsia="en-GB"/>
      </w:rPr>
      <w:drawing>
        <wp:inline distT="0" distB="0" distL="0" distR="0">
          <wp:extent cx="2752725" cy="485775"/>
          <wp:effectExtent l="0" t="0" r="9525" b="9525"/>
          <wp:docPr id="2" name="Picture 2" descr="X:\Clients\Farnell\Logos\Farnell-element14Logo.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s\Farnell\Logos\Farnell-element14Logo.p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7A" w:rsidRDefault="007B05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3DC4"/>
    <w:multiLevelType w:val="hybridMultilevel"/>
    <w:tmpl w:val="C39CC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974FC"/>
    <w:multiLevelType w:val="hybridMultilevel"/>
    <w:tmpl w:val="8574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64948"/>
    <w:rsid w:val="00012D9D"/>
    <w:rsid w:val="00013D18"/>
    <w:rsid w:val="0003366F"/>
    <w:rsid w:val="00034E95"/>
    <w:rsid w:val="0003630B"/>
    <w:rsid w:val="00043859"/>
    <w:rsid w:val="00046324"/>
    <w:rsid w:val="00054B28"/>
    <w:rsid w:val="00056142"/>
    <w:rsid w:val="00097E37"/>
    <w:rsid w:val="000E1258"/>
    <w:rsid w:val="000E5F64"/>
    <w:rsid w:val="00100816"/>
    <w:rsid w:val="00117203"/>
    <w:rsid w:val="00131E6C"/>
    <w:rsid w:val="00152C79"/>
    <w:rsid w:val="00162620"/>
    <w:rsid w:val="001645E2"/>
    <w:rsid w:val="001A2F75"/>
    <w:rsid w:val="001B46A6"/>
    <w:rsid w:val="001B4788"/>
    <w:rsid w:val="001C54A9"/>
    <w:rsid w:val="001C6B25"/>
    <w:rsid w:val="001E5EC2"/>
    <w:rsid w:val="001F2199"/>
    <w:rsid w:val="002005EE"/>
    <w:rsid w:val="0021103C"/>
    <w:rsid w:val="002210D7"/>
    <w:rsid w:val="0023465A"/>
    <w:rsid w:val="002418F6"/>
    <w:rsid w:val="002437DB"/>
    <w:rsid w:val="00246ACC"/>
    <w:rsid w:val="0025399F"/>
    <w:rsid w:val="00267C5D"/>
    <w:rsid w:val="00271C30"/>
    <w:rsid w:val="00276DCD"/>
    <w:rsid w:val="002775F3"/>
    <w:rsid w:val="002806AC"/>
    <w:rsid w:val="002808E0"/>
    <w:rsid w:val="00280C8C"/>
    <w:rsid w:val="00287B0E"/>
    <w:rsid w:val="0029234E"/>
    <w:rsid w:val="002936B8"/>
    <w:rsid w:val="00293EE9"/>
    <w:rsid w:val="0029445F"/>
    <w:rsid w:val="002D4EBD"/>
    <w:rsid w:val="002F22C3"/>
    <w:rsid w:val="003025A5"/>
    <w:rsid w:val="003119AA"/>
    <w:rsid w:val="0031210F"/>
    <w:rsid w:val="00337BCE"/>
    <w:rsid w:val="00337D85"/>
    <w:rsid w:val="00346471"/>
    <w:rsid w:val="00347FC5"/>
    <w:rsid w:val="0035033D"/>
    <w:rsid w:val="00370ADA"/>
    <w:rsid w:val="00380FF4"/>
    <w:rsid w:val="00393C7F"/>
    <w:rsid w:val="00394874"/>
    <w:rsid w:val="003A762D"/>
    <w:rsid w:val="003C56F6"/>
    <w:rsid w:val="003E43E0"/>
    <w:rsid w:val="003E4D31"/>
    <w:rsid w:val="003F63CC"/>
    <w:rsid w:val="004029FA"/>
    <w:rsid w:val="00416223"/>
    <w:rsid w:val="0043146B"/>
    <w:rsid w:val="00460AF0"/>
    <w:rsid w:val="00470B8A"/>
    <w:rsid w:val="00481F78"/>
    <w:rsid w:val="00492F1C"/>
    <w:rsid w:val="004B1684"/>
    <w:rsid w:val="004B5C7D"/>
    <w:rsid w:val="004D3699"/>
    <w:rsid w:val="004E51BF"/>
    <w:rsid w:val="004E72CF"/>
    <w:rsid w:val="004F0104"/>
    <w:rsid w:val="00515F4F"/>
    <w:rsid w:val="00526436"/>
    <w:rsid w:val="00552438"/>
    <w:rsid w:val="00554789"/>
    <w:rsid w:val="005651B8"/>
    <w:rsid w:val="0056566E"/>
    <w:rsid w:val="005663E4"/>
    <w:rsid w:val="00587AC2"/>
    <w:rsid w:val="00593FC5"/>
    <w:rsid w:val="005B214B"/>
    <w:rsid w:val="005B5D6B"/>
    <w:rsid w:val="005C4BA1"/>
    <w:rsid w:val="005C5891"/>
    <w:rsid w:val="005C708F"/>
    <w:rsid w:val="005F0BDE"/>
    <w:rsid w:val="0063285B"/>
    <w:rsid w:val="006362A7"/>
    <w:rsid w:val="006475DE"/>
    <w:rsid w:val="00651496"/>
    <w:rsid w:val="00652C66"/>
    <w:rsid w:val="006709DE"/>
    <w:rsid w:val="00672E47"/>
    <w:rsid w:val="0068186A"/>
    <w:rsid w:val="006B46D9"/>
    <w:rsid w:val="006C45BD"/>
    <w:rsid w:val="006D2D76"/>
    <w:rsid w:val="006D537C"/>
    <w:rsid w:val="006E7543"/>
    <w:rsid w:val="006F661B"/>
    <w:rsid w:val="00716456"/>
    <w:rsid w:val="00720BA7"/>
    <w:rsid w:val="007304F9"/>
    <w:rsid w:val="00732293"/>
    <w:rsid w:val="007365E9"/>
    <w:rsid w:val="00743C4A"/>
    <w:rsid w:val="00752766"/>
    <w:rsid w:val="00753EFF"/>
    <w:rsid w:val="00773992"/>
    <w:rsid w:val="00780240"/>
    <w:rsid w:val="00782D4D"/>
    <w:rsid w:val="00783E2D"/>
    <w:rsid w:val="0078593B"/>
    <w:rsid w:val="00794F8F"/>
    <w:rsid w:val="007B057A"/>
    <w:rsid w:val="007B30C2"/>
    <w:rsid w:val="007B3609"/>
    <w:rsid w:val="007C35D1"/>
    <w:rsid w:val="007E19B1"/>
    <w:rsid w:val="007E4AB5"/>
    <w:rsid w:val="007F7CFD"/>
    <w:rsid w:val="008044DB"/>
    <w:rsid w:val="008117DB"/>
    <w:rsid w:val="008124CA"/>
    <w:rsid w:val="00814834"/>
    <w:rsid w:val="00814D8B"/>
    <w:rsid w:val="00833986"/>
    <w:rsid w:val="00834217"/>
    <w:rsid w:val="008623E8"/>
    <w:rsid w:val="00863ED4"/>
    <w:rsid w:val="00864CB4"/>
    <w:rsid w:val="00870A19"/>
    <w:rsid w:val="0087344E"/>
    <w:rsid w:val="00874E3B"/>
    <w:rsid w:val="00882DE7"/>
    <w:rsid w:val="0089029E"/>
    <w:rsid w:val="00893A26"/>
    <w:rsid w:val="008A6442"/>
    <w:rsid w:val="008A6D12"/>
    <w:rsid w:val="008B0313"/>
    <w:rsid w:val="008B0C61"/>
    <w:rsid w:val="008B0D8E"/>
    <w:rsid w:val="008C5DC5"/>
    <w:rsid w:val="008D1F77"/>
    <w:rsid w:val="008D3C29"/>
    <w:rsid w:val="008E5571"/>
    <w:rsid w:val="00901CE0"/>
    <w:rsid w:val="009173BD"/>
    <w:rsid w:val="009229F4"/>
    <w:rsid w:val="009402CD"/>
    <w:rsid w:val="009551E6"/>
    <w:rsid w:val="00966D03"/>
    <w:rsid w:val="00973B62"/>
    <w:rsid w:val="009809A4"/>
    <w:rsid w:val="009840A0"/>
    <w:rsid w:val="009C6785"/>
    <w:rsid w:val="009D2006"/>
    <w:rsid w:val="009F21AA"/>
    <w:rsid w:val="00A2626A"/>
    <w:rsid w:val="00A266F3"/>
    <w:rsid w:val="00A5343B"/>
    <w:rsid w:val="00A56F56"/>
    <w:rsid w:val="00A84AAB"/>
    <w:rsid w:val="00A85222"/>
    <w:rsid w:val="00AB2761"/>
    <w:rsid w:val="00AC5A39"/>
    <w:rsid w:val="00AD5862"/>
    <w:rsid w:val="00AE436F"/>
    <w:rsid w:val="00B03453"/>
    <w:rsid w:val="00B10603"/>
    <w:rsid w:val="00B12221"/>
    <w:rsid w:val="00B12977"/>
    <w:rsid w:val="00B31C0E"/>
    <w:rsid w:val="00B40AA7"/>
    <w:rsid w:val="00B41BB3"/>
    <w:rsid w:val="00B5264A"/>
    <w:rsid w:val="00B53452"/>
    <w:rsid w:val="00B66802"/>
    <w:rsid w:val="00B724C5"/>
    <w:rsid w:val="00B73287"/>
    <w:rsid w:val="00B73458"/>
    <w:rsid w:val="00B7357F"/>
    <w:rsid w:val="00B8183B"/>
    <w:rsid w:val="00B82708"/>
    <w:rsid w:val="00B90FA6"/>
    <w:rsid w:val="00B96D83"/>
    <w:rsid w:val="00BA599C"/>
    <w:rsid w:val="00BB474D"/>
    <w:rsid w:val="00BB50E5"/>
    <w:rsid w:val="00BB5382"/>
    <w:rsid w:val="00BD7EFF"/>
    <w:rsid w:val="00BE54E5"/>
    <w:rsid w:val="00BF06BA"/>
    <w:rsid w:val="00C2768C"/>
    <w:rsid w:val="00C41455"/>
    <w:rsid w:val="00C45BEA"/>
    <w:rsid w:val="00C704A9"/>
    <w:rsid w:val="00C815B1"/>
    <w:rsid w:val="00CB3323"/>
    <w:rsid w:val="00CD43A6"/>
    <w:rsid w:val="00CF4D7B"/>
    <w:rsid w:val="00D02983"/>
    <w:rsid w:val="00D3465B"/>
    <w:rsid w:val="00D448A2"/>
    <w:rsid w:val="00D57CF8"/>
    <w:rsid w:val="00D64948"/>
    <w:rsid w:val="00D8761A"/>
    <w:rsid w:val="00DB2CD8"/>
    <w:rsid w:val="00DC7A77"/>
    <w:rsid w:val="00DE0204"/>
    <w:rsid w:val="00DE49BF"/>
    <w:rsid w:val="00DF6436"/>
    <w:rsid w:val="00DF651E"/>
    <w:rsid w:val="00E00976"/>
    <w:rsid w:val="00E02789"/>
    <w:rsid w:val="00E45F3E"/>
    <w:rsid w:val="00E50AA8"/>
    <w:rsid w:val="00E60A26"/>
    <w:rsid w:val="00E7722C"/>
    <w:rsid w:val="00E77CA8"/>
    <w:rsid w:val="00E904D5"/>
    <w:rsid w:val="00E91285"/>
    <w:rsid w:val="00EC7F86"/>
    <w:rsid w:val="00EE672E"/>
    <w:rsid w:val="00F05809"/>
    <w:rsid w:val="00F07BF1"/>
    <w:rsid w:val="00F56BC1"/>
    <w:rsid w:val="00F620DE"/>
    <w:rsid w:val="00F64C19"/>
    <w:rsid w:val="00F67BC3"/>
    <w:rsid w:val="00F705D3"/>
    <w:rsid w:val="00FA2733"/>
    <w:rsid w:val="00FA31A1"/>
    <w:rsid w:val="00FA7186"/>
    <w:rsid w:val="00FB6433"/>
    <w:rsid w:val="00FC22D6"/>
    <w:rsid w:val="00FD1524"/>
    <w:rsid w:val="00FD5BBE"/>
    <w:rsid w:val="00FD63FE"/>
    <w:rsid w:val="00FE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B1"/>
  </w:style>
  <w:style w:type="paragraph" w:styleId="Heading1">
    <w:name w:val="heading 1"/>
    <w:basedOn w:val="Normal"/>
    <w:link w:val="Heading1Char"/>
    <w:uiPriority w:val="9"/>
    <w:qFormat/>
    <w:rsid w:val="00D64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64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9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649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D649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4948"/>
  </w:style>
  <w:style w:type="character" w:customStyle="1" w:styleId="share-it">
    <w:name w:val="share-it"/>
    <w:basedOn w:val="DefaultParagraphFont"/>
    <w:rsid w:val="00D64948"/>
  </w:style>
  <w:style w:type="paragraph" w:styleId="NormalWeb">
    <w:name w:val="Normal (Web)"/>
    <w:basedOn w:val="Normal"/>
    <w:uiPriority w:val="99"/>
    <w:unhideWhenUsed/>
    <w:rsid w:val="00D6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4948"/>
    <w:rPr>
      <w:b/>
      <w:bCs/>
    </w:rPr>
  </w:style>
  <w:style w:type="paragraph" w:styleId="ListParagraph">
    <w:name w:val="List Paragraph"/>
    <w:basedOn w:val="Normal"/>
    <w:uiPriority w:val="34"/>
    <w:qFormat/>
    <w:rsid w:val="00311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5D3"/>
  </w:style>
  <w:style w:type="paragraph" w:styleId="Footer">
    <w:name w:val="footer"/>
    <w:basedOn w:val="Normal"/>
    <w:link w:val="FooterChar"/>
    <w:uiPriority w:val="99"/>
    <w:unhideWhenUsed/>
    <w:rsid w:val="00F7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D3"/>
  </w:style>
  <w:style w:type="paragraph" w:styleId="BalloonText">
    <w:name w:val="Balloon Text"/>
    <w:basedOn w:val="Normal"/>
    <w:link w:val="BalloonTextChar"/>
    <w:uiPriority w:val="99"/>
    <w:semiHidden/>
    <w:unhideWhenUsed/>
    <w:rsid w:val="00F7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6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E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1E6C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E51BF"/>
    <w:pPr>
      <w:ind w:left="720"/>
    </w:pPr>
    <w:rPr>
      <w:rFonts w:ascii="Calibri" w:eastAsia="Calibri" w:hAnsi="Calibri" w:cs="Calibri"/>
      <w:lang w:val="en-US"/>
    </w:rPr>
  </w:style>
  <w:style w:type="paragraph" w:styleId="Revision">
    <w:name w:val="Revision"/>
    <w:hidden/>
    <w:uiPriority w:val="99"/>
    <w:semiHidden/>
    <w:rsid w:val="008B0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153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650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9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873">
                  <w:marLeft w:val="0"/>
                  <w:marRight w:val="0"/>
                  <w:marTop w:val="0"/>
                  <w:marBottom w:val="450"/>
                  <w:divBdr>
                    <w:top w:val="single" w:sz="12" w:space="29" w:color="40404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nell.com/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mailto:freya@napierb2b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remierfarnell.com/" TargetMode="External"/><Relationship Id="rId17" Type="http://schemas.openxmlformats.org/officeDocument/2006/relationships/hyperlink" Target="http://www.premierfarnel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ement14.com/community/community/legislatio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ment14.com/n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g.element14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lement14.com/community/message/217690/l/share-a-design-tip-to-be-included-in-our-next-engineers-ebook" TargetMode="External"/><Relationship Id="rId19" Type="http://schemas.openxmlformats.org/officeDocument/2006/relationships/hyperlink" Target="mailto:JPatterson@premierfarn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ment14.com/community/community/publications/ebooks" TargetMode="External"/><Relationship Id="rId14" Type="http://schemas.openxmlformats.org/officeDocument/2006/relationships/hyperlink" Target="http://www.newark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C104-27DD-4DB2-8A6B-65B3BC56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 User</dc:creator>
  <cp:lastModifiedBy>PF User</cp:lastModifiedBy>
  <cp:revision>11</cp:revision>
  <cp:lastPrinted>2016-09-15T08:57:00Z</cp:lastPrinted>
  <dcterms:created xsi:type="dcterms:W3CDTF">2017-03-07T10:21:00Z</dcterms:created>
  <dcterms:modified xsi:type="dcterms:W3CDTF">2017-03-08T08:53:00Z</dcterms:modified>
</cp:coreProperties>
</file>