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53" w:rsidRDefault="00377CA5" w:rsidP="001104B5">
      <w:pPr>
        <w:spacing w:after="0"/>
        <w:ind w:right="44"/>
        <w:jc w:val="center"/>
        <w:rPr>
          <w:rFonts w:ascii="Calibri" w:hAnsi="Calibri"/>
          <w:b/>
          <w:sz w:val="28"/>
          <w:szCs w:val="28"/>
        </w:rPr>
      </w:pPr>
      <w:r>
        <w:rPr>
          <w:rFonts w:ascii="Calibri" w:hAnsi="Calibri"/>
          <w:b/>
          <w:sz w:val="28"/>
          <w:szCs w:val="28"/>
        </w:rPr>
        <w:t xml:space="preserve">Farnell </w:t>
      </w:r>
      <w:r w:rsidRPr="00175F71">
        <w:rPr>
          <w:rFonts w:ascii="Calibri" w:hAnsi="Calibri"/>
          <w:b/>
          <w:sz w:val="28"/>
          <w:szCs w:val="28"/>
        </w:rPr>
        <w:t>element14 bietet</w:t>
      </w:r>
      <w:r w:rsidR="00FF1053" w:rsidRPr="00175F71">
        <w:rPr>
          <w:rFonts w:ascii="Calibri" w:hAnsi="Calibri"/>
          <w:b/>
          <w:sz w:val="28"/>
          <w:szCs w:val="28"/>
        </w:rPr>
        <w:t xml:space="preserve"> ab sofort die Echtzeit-Spektrumanalysatoren der Baureihen RSA500</w:t>
      </w:r>
      <w:r w:rsidR="00FF1053">
        <w:rPr>
          <w:rFonts w:ascii="Calibri" w:hAnsi="Calibri"/>
          <w:b/>
          <w:sz w:val="28"/>
          <w:szCs w:val="28"/>
        </w:rPr>
        <w:t xml:space="preserve"> und RSA600 von Tektronix</w:t>
      </w:r>
    </w:p>
    <w:p w:rsidR="00FF1053" w:rsidRDefault="00FF1053" w:rsidP="001104B5">
      <w:pPr>
        <w:spacing w:after="0"/>
        <w:ind w:right="44"/>
        <w:jc w:val="center"/>
        <w:rPr>
          <w:rFonts w:ascii="Calibri" w:hAnsi="Calibri" w:cs="Calibri"/>
          <w:b/>
          <w:i/>
          <w:sz w:val="22"/>
          <w:szCs w:val="22"/>
        </w:rPr>
      </w:pPr>
      <w:r>
        <w:rPr>
          <w:rFonts w:ascii="Calibri" w:hAnsi="Calibri"/>
          <w:b/>
          <w:i/>
          <w:sz w:val="22"/>
          <w:szCs w:val="22"/>
        </w:rPr>
        <w:t>Neue Produkte für die Netzwerkwartung und Störungsortung, IoT- und HF-Designs sowie EMV/Diagnosezwecke</w:t>
      </w:r>
    </w:p>
    <w:p w:rsidR="001104B5" w:rsidRPr="00FF1053" w:rsidRDefault="001104B5" w:rsidP="001104B5">
      <w:pPr>
        <w:spacing w:after="0"/>
        <w:ind w:right="44"/>
        <w:jc w:val="center"/>
        <w:rPr>
          <w:rFonts w:ascii="Calibri" w:hAnsi="Calibri" w:cs="Calibri"/>
          <w:b/>
          <w:i/>
          <w:sz w:val="22"/>
          <w:szCs w:val="22"/>
        </w:rPr>
      </w:pPr>
    </w:p>
    <w:p w:rsidR="00FF1053" w:rsidRDefault="00FF1053" w:rsidP="00505B9C">
      <w:pPr>
        <w:spacing w:after="0" w:line="23" w:lineRule="atLeast"/>
        <w:ind w:right="44"/>
        <w:rPr>
          <w:rFonts w:ascii="Calibri" w:eastAsia="HelveticaNeueLTStd-Lt" w:hAnsi="Calibri" w:cs="HelveticaNeueLTStd-Lt"/>
          <w:sz w:val="22"/>
          <w:szCs w:val="22"/>
        </w:rPr>
      </w:pPr>
      <w:r>
        <w:rPr>
          <w:rFonts w:ascii="Calibri" w:hAnsi="Calibri"/>
          <w:b/>
          <w:sz w:val="22"/>
          <w:szCs w:val="22"/>
        </w:rPr>
        <w:t>Lo</w:t>
      </w:r>
      <w:r w:rsidR="001C436F">
        <w:rPr>
          <w:rFonts w:ascii="Calibri" w:hAnsi="Calibri"/>
          <w:b/>
          <w:sz w:val="22"/>
          <w:szCs w:val="22"/>
        </w:rPr>
        <w:t>ndon, Vereinigtes Königreich, 28</w:t>
      </w:r>
      <w:bookmarkStart w:id="0" w:name="_GoBack"/>
      <w:bookmarkEnd w:id="0"/>
      <w:r w:rsidR="002165E0">
        <w:rPr>
          <w:rFonts w:ascii="Calibri" w:hAnsi="Calibri"/>
          <w:b/>
          <w:sz w:val="22"/>
          <w:szCs w:val="22"/>
        </w:rPr>
        <w:t>. Juni</w:t>
      </w:r>
      <w:r>
        <w:rPr>
          <w:rFonts w:ascii="Calibri" w:hAnsi="Calibri"/>
          <w:b/>
          <w:sz w:val="22"/>
          <w:szCs w:val="22"/>
        </w:rPr>
        <w:t xml:space="preserve"> 2017</w:t>
      </w:r>
      <w:r>
        <w:rPr>
          <w:rFonts w:ascii="Calibri" w:hAnsi="Calibri"/>
          <w:sz w:val="22"/>
          <w:szCs w:val="22"/>
        </w:rPr>
        <w:t xml:space="preserve"> – </w:t>
      </w:r>
      <w:hyperlink r:id="rId8" w:history="1">
        <w:r>
          <w:rPr>
            <w:rStyle w:val="Hyperlink"/>
            <w:rFonts w:ascii="Calibri" w:hAnsi="Calibri"/>
            <w:sz w:val="22"/>
            <w:szCs w:val="22"/>
          </w:rPr>
          <w:t>Farnell element14</w:t>
        </w:r>
      </w:hyperlink>
      <w:r>
        <w:rPr>
          <w:rFonts w:ascii="Calibri" w:hAnsi="Calibri"/>
          <w:sz w:val="22"/>
          <w:szCs w:val="22"/>
        </w:rPr>
        <w:t xml:space="preserve">, </w:t>
      </w:r>
      <w:r w:rsidR="00AB6BE6" w:rsidRPr="00AB6BE6">
        <w:rPr>
          <w:rFonts w:ascii="Calibri" w:hAnsi="Calibri"/>
          <w:sz w:val="22"/>
          <w:szCs w:val="22"/>
        </w:rPr>
        <w:t>der Development Distributor</w:t>
      </w:r>
      <w:r>
        <w:rPr>
          <w:rFonts w:ascii="Calibri" w:hAnsi="Calibri"/>
          <w:sz w:val="22"/>
          <w:szCs w:val="22"/>
        </w:rPr>
        <w:t>, liefert ab sofort die Echtzeit-Spektrumanalysatoren der Baureihen RSA500 und RSA600 von Tektronix.</w:t>
      </w:r>
    </w:p>
    <w:p w:rsidR="001104B5" w:rsidRDefault="001104B5" w:rsidP="00505B9C">
      <w:pPr>
        <w:spacing w:after="0" w:line="23" w:lineRule="atLeast"/>
        <w:ind w:right="44"/>
        <w:rPr>
          <w:rFonts w:ascii="Calibri" w:eastAsia="HelveticaNeueLTStd-Lt" w:hAnsi="Calibri" w:cs="HelveticaNeueLTStd-Lt"/>
          <w:sz w:val="22"/>
          <w:szCs w:val="22"/>
        </w:rPr>
      </w:pPr>
    </w:p>
    <w:p w:rsidR="001104B5" w:rsidRDefault="00FF1053" w:rsidP="00505B9C">
      <w:pPr>
        <w:autoSpaceDE w:val="0"/>
        <w:autoSpaceDN w:val="0"/>
        <w:adjustRightInd w:val="0"/>
        <w:spacing w:after="0" w:line="23" w:lineRule="atLeast"/>
        <w:rPr>
          <w:rFonts w:ascii="Calibri" w:hAnsi="Calibri" w:cs="Myriad Pro"/>
          <w:color w:val="000000"/>
          <w:sz w:val="22"/>
          <w:szCs w:val="22"/>
        </w:rPr>
      </w:pPr>
      <w:r>
        <w:rPr>
          <w:rFonts w:ascii="Calibri" w:hAnsi="Calibri"/>
          <w:sz w:val="22"/>
          <w:szCs w:val="22"/>
        </w:rPr>
        <w:t xml:space="preserve">Die robusten, tragbaren Echtzeit-Spektrumanalysatoren der </w:t>
      </w:r>
      <w:r w:rsidRPr="002165E0">
        <w:rPr>
          <w:rFonts w:ascii="Calibri" w:hAnsi="Calibri"/>
          <w:sz w:val="22"/>
          <w:szCs w:val="22"/>
        </w:rPr>
        <w:t xml:space="preserve">Baureihe </w:t>
      </w:r>
      <w:hyperlink r:id="rId9" w:history="1">
        <w:r w:rsidRPr="002165E0">
          <w:rPr>
            <w:rStyle w:val="Hyperlink"/>
            <w:rFonts w:ascii="Calibri" w:hAnsi="Calibri"/>
            <w:sz w:val="22"/>
            <w:szCs w:val="22"/>
          </w:rPr>
          <w:t>RSA 500</w:t>
        </w:r>
      </w:hyperlink>
      <w:r w:rsidRPr="002165E0">
        <w:rPr>
          <w:rFonts w:ascii="Calibri" w:hAnsi="Calibri"/>
          <w:sz w:val="22"/>
          <w:szCs w:val="22"/>
        </w:rPr>
        <w:t xml:space="preserve"> eignen</w:t>
      </w:r>
      <w:r>
        <w:rPr>
          <w:rFonts w:ascii="Calibri" w:hAnsi="Calibri"/>
          <w:sz w:val="22"/>
          <w:szCs w:val="22"/>
        </w:rPr>
        <w:t xml:space="preserve"> sich ideal für Arbeiten in den Bereichen Störungsortung, Spektrumsverwaltung und Netzwerkwartung.  In Kombination mit einem Tablet und der Software SignalVu-PC lösen die Geräte der Baureihe RSA500 selbst schwierigste Störungsprobleme und erweisen sich auch bei der Spektrumsverwaltung sowie der Netzwerkwartung als äußerst nützlich.  Der RSA500 verfügt über mehr Leistung als der RSA306B und ist somit eine ideale Alternative zu einer größeren Auswahl an handelsüblichen tragbaren Geräten.  Der Analysator eignet sich für die Störungsortung im Feldeinsatz, die Abdeckungskartiertung, Überwachungsanwendungen sowie die Netzwerkwartung.</w:t>
      </w:r>
    </w:p>
    <w:p w:rsidR="001104B5" w:rsidRPr="00F054CD" w:rsidRDefault="001104B5" w:rsidP="00505B9C">
      <w:pPr>
        <w:autoSpaceDE w:val="0"/>
        <w:autoSpaceDN w:val="0"/>
        <w:adjustRightInd w:val="0"/>
        <w:spacing w:after="0" w:line="23" w:lineRule="atLeast"/>
        <w:rPr>
          <w:rFonts w:ascii="Calibri" w:hAnsi="Calibri" w:cs="Myriad Pro"/>
          <w:color w:val="000000"/>
          <w:sz w:val="22"/>
          <w:szCs w:val="22"/>
        </w:rPr>
      </w:pPr>
    </w:p>
    <w:p w:rsidR="00FF1053" w:rsidRDefault="00FF1053" w:rsidP="00505B9C">
      <w:pPr>
        <w:pStyle w:val="ColorfulList-Accent11"/>
        <w:spacing w:after="0" w:line="23" w:lineRule="atLeast"/>
        <w:ind w:left="0"/>
        <w:rPr>
          <w:rFonts w:ascii="Calibri" w:hAnsi="Calibri" w:cs="Myriad Pro"/>
          <w:color w:val="000000"/>
        </w:rPr>
      </w:pPr>
      <w:r w:rsidRPr="002165E0">
        <w:rPr>
          <w:rFonts w:ascii="Calibri" w:hAnsi="Calibri"/>
        </w:rPr>
        <w:t xml:space="preserve">Die Baureihe </w:t>
      </w:r>
      <w:hyperlink r:id="rId10" w:history="1">
        <w:r w:rsidRPr="002165E0">
          <w:rPr>
            <w:rStyle w:val="Hyperlink"/>
            <w:rFonts w:ascii="Calibri" w:hAnsi="Calibri"/>
          </w:rPr>
          <w:t>RSA600</w:t>
        </w:r>
      </w:hyperlink>
      <w:r w:rsidRPr="002165E0">
        <w:rPr>
          <w:rFonts w:ascii="Calibri" w:hAnsi="Calibri"/>
        </w:rPr>
        <w:t xml:space="preserve"> bietet Mid-Range-Spektrumanalysatoren für den Einsatz im Labor und eignet sich ideal für Design-, Charakterisierungs</w:t>
      </w:r>
      <w:r>
        <w:rPr>
          <w:rFonts w:ascii="Calibri" w:hAnsi="Calibri"/>
        </w:rPr>
        <w:t xml:space="preserve">- und EMV-Arbeiten.  Die Baureihe RSA600 verfügt über eine standardmäßige Erfassungsbandbreite von 40 MHz und ermöglicht somit eine Analyse gemäß aktuellster Kommunikationsstandards bis zu 802.11n.  Zudem ermöglicht die Echtzeit-Spektrumanalyse eine schnellere Fehlersuche, indem sie Probleme aufspürt, die andere Spektrumanalysatoren möglicherweise übersehen.  Dieses Gerät </w:t>
      </w:r>
      <w:r w:rsidRPr="00175F71">
        <w:rPr>
          <w:rFonts w:ascii="Calibri" w:hAnsi="Calibri"/>
        </w:rPr>
        <w:t>verfügt über mehr Leistung als die Baureihe RSA306B und erfüllt somit die Anforderungen einer größeren Kundengrupp</w:t>
      </w:r>
      <w:r w:rsidR="00377CA5" w:rsidRPr="00175F71">
        <w:rPr>
          <w:rFonts w:ascii="Calibri" w:hAnsi="Calibri"/>
        </w:rPr>
        <w:t xml:space="preserve">e. Gleichzeitig stellt es eine </w:t>
      </w:r>
      <w:r w:rsidRPr="00175F71">
        <w:rPr>
          <w:rFonts w:ascii="Calibri" w:hAnsi="Calibri"/>
        </w:rPr>
        <w:t>Alternative zu hande</w:t>
      </w:r>
      <w:r w:rsidR="00377CA5" w:rsidRPr="00175F71">
        <w:rPr>
          <w:rFonts w:ascii="Calibri" w:hAnsi="Calibri"/>
        </w:rPr>
        <w:t>lsüblichen Labormessgeräten dar, die zum halben Preis erhältlich ist.</w:t>
      </w:r>
      <w:r w:rsidRPr="00175F71">
        <w:rPr>
          <w:rFonts w:ascii="Calibri" w:hAnsi="Calibri"/>
        </w:rPr>
        <w:t xml:space="preserve">  Dieser neue Analysator eignet sich ideal für die WLAN-/Bluetooth-Prüfung, die Charakterisierung von Bauelementen</w:t>
      </w:r>
      <w:r>
        <w:rPr>
          <w:rFonts w:ascii="Calibri" w:hAnsi="Calibri"/>
        </w:rPr>
        <w:t>, die Kabel- und Antennenprüfung sowie die HF-Umgebungsaufzeichnung und -wiedergabe.</w:t>
      </w:r>
    </w:p>
    <w:p w:rsidR="00505B9C" w:rsidRDefault="00505B9C" w:rsidP="00505B9C">
      <w:pPr>
        <w:pStyle w:val="ColorfulList-Accent11"/>
        <w:spacing w:after="0" w:line="23" w:lineRule="atLeast"/>
        <w:ind w:left="0"/>
        <w:rPr>
          <w:rFonts w:ascii="Calibri" w:hAnsi="Calibri" w:cs="Myriad Pro"/>
          <w:color w:val="000000"/>
        </w:rPr>
      </w:pPr>
    </w:p>
    <w:p w:rsidR="00505B9C" w:rsidRDefault="00505B9C" w:rsidP="00505B9C">
      <w:pPr>
        <w:shd w:val="clear" w:color="auto" w:fill="FFFFFF"/>
        <w:suppressAutoHyphens w:val="0"/>
        <w:spacing w:after="0" w:line="23" w:lineRule="atLeast"/>
        <w:rPr>
          <w:rFonts w:ascii="Calibri" w:eastAsia="HelveticaNeueLTStd-Roman" w:hAnsi="Calibri" w:cs="HelveticaNeueLTStd-Roman"/>
          <w:sz w:val="22"/>
          <w:szCs w:val="22"/>
        </w:rPr>
      </w:pPr>
      <w:r>
        <w:rPr>
          <w:rFonts w:ascii="Calibri" w:hAnsi="Calibri"/>
          <w:b/>
          <w:sz w:val="22"/>
          <w:szCs w:val="22"/>
        </w:rPr>
        <w:t>James McGregor, Global Head für Messgeräte sowie Werkzeuge und Werkstattbedarf bei Premier Farnell, äußerte sich wie folgt:</w:t>
      </w:r>
      <w:r>
        <w:rPr>
          <w:rFonts w:ascii="Calibri" w:hAnsi="Calibri"/>
          <w:sz w:val="22"/>
          <w:szCs w:val="22"/>
        </w:rPr>
        <w:t xml:space="preserve"> „Farnell element14 bietet eines der größten Sortimente an Messtechnikprodukten auf dem Markt. Die Analysatoren der Baureihen RSA500 und RSA600 von Tektronix stellen eine innovative Alternative zu konventionellen Geräten dar – ganz egal, ob Sie auf der Suche nach einer tragbaren Lösung oder einem Gerät für den Einsatz im Labor sind. Diese Produkte zeichnen sich durch ihre Vielseitigkeit, ihre Leistungsfähigkeit und ein ausgezeichnetes Preis-Leistungs-Verhältnis aus.“</w:t>
      </w:r>
    </w:p>
    <w:p w:rsidR="00505B9C" w:rsidRPr="00505B9C" w:rsidRDefault="00505B9C" w:rsidP="00505B9C">
      <w:pPr>
        <w:shd w:val="clear" w:color="auto" w:fill="FFFFFF"/>
        <w:suppressAutoHyphens w:val="0"/>
        <w:spacing w:after="0" w:line="23" w:lineRule="atLeast"/>
        <w:rPr>
          <w:rFonts w:ascii="Calibri" w:eastAsia="HelveticaNeueLTStd-Roman" w:hAnsi="Calibri" w:cs="HelveticaNeueLTStd-Roman"/>
          <w:sz w:val="22"/>
          <w:szCs w:val="22"/>
        </w:rPr>
      </w:pPr>
    </w:p>
    <w:p w:rsidR="00FF1053" w:rsidRDefault="00505B9C" w:rsidP="00505B9C">
      <w:pPr>
        <w:pStyle w:val="ColorfulList-Accent11"/>
        <w:spacing w:after="0" w:line="23" w:lineRule="atLeast"/>
        <w:ind w:left="0"/>
        <w:rPr>
          <w:rFonts w:asciiTheme="minorHAnsi" w:hAnsiTheme="minorHAnsi"/>
        </w:rPr>
      </w:pPr>
      <w:r>
        <w:rPr>
          <w:rFonts w:asciiTheme="minorHAnsi" w:hAnsiTheme="minorHAnsi"/>
        </w:rPr>
        <w:t>Die Geräte der Baureihen RSA500 und RSA600 sowie weitere Produkte von Tektronix sind innerhalb Europas bei Farnell element14 erhältlich.</w:t>
      </w:r>
    </w:p>
    <w:p w:rsidR="00DC599E" w:rsidRDefault="00DC599E" w:rsidP="00505B9C">
      <w:pPr>
        <w:pStyle w:val="ColorfulList-Accent11"/>
        <w:spacing w:after="0" w:line="23" w:lineRule="atLeast"/>
        <w:ind w:left="0"/>
        <w:rPr>
          <w:rFonts w:asciiTheme="minorHAnsi" w:hAnsiTheme="minorHAnsi"/>
        </w:rPr>
      </w:pPr>
    </w:p>
    <w:p w:rsidR="002D4060" w:rsidRPr="00C62786" w:rsidRDefault="002D4060" w:rsidP="002D4060">
      <w:pPr>
        <w:pStyle w:val="ColorfulList-Accent11"/>
        <w:spacing w:after="0" w:line="240" w:lineRule="auto"/>
        <w:ind w:left="0"/>
        <w:jc w:val="center"/>
        <w:rPr>
          <w:rFonts w:asciiTheme="minorHAnsi" w:hAnsiTheme="minorHAnsi" w:cs="Arial"/>
          <w:b/>
          <w:color w:val="000000"/>
        </w:rPr>
      </w:pPr>
      <w:r w:rsidRPr="00C62786">
        <w:rPr>
          <w:rFonts w:asciiTheme="minorHAnsi" w:hAnsiTheme="minorHAnsi" w:cs="Arial"/>
          <w:b/>
          <w:color w:val="000000"/>
        </w:rPr>
        <w:t>** Ende **</w:t>
      </w:r>
    </w:p>
    <w:p w:rsidR="002D4060" w:rsidRPr="00C62786" w:rsidRDefault="002D4060" w:rsidP="002D4060">
      <w:pPr>
        <w:pStyle w:val="ColorfulList-Accent11"/>
        <w:spacing w:after="0" w:line="240" w:lineRule="auto"/>
        <w:ind w:left="0"/>
        <w:jc w:val="center"/>
        <w:rPr>
          <w:rFonts w:asciiTheme="minorHAnsi" w:hAnsiTheme="minorHAnsi" w:cs="Arial"/>
          <w:b/>
          <w:color w:val="000000"/>
        </w:rPr>
      </w:pPr>
    </w:p>
    <w:p w:rsidR="002D4060" w:rsidRPr="00C62786" w:rsidRDefault="002D4060" w:rsidP="002D4060">
      <w:pPr>
        <w:spacing w:after="0" w:line="240" w:lineRule="auto"/>
        <w:rPr>
          <w:rFonts w:asciiTheme="minorHAnsi" w:hAnsiTheme="minorHAnsi"/>
          <w:b/>
          <w:sz w:val="22"/>
          <w:szCs w:val="22"/>
          <w:u w:val="single"/>
        </w:rPr>
      </w:pPr>
      <w:r w:rsidRPr="00C62786">
        <w:rPr>
          <w:rFonts w:asciiTheme="minorHAnsi" w:hAnsiTheme="minorHAnsi"/>
          <w:b/>
          <w:sz w:val="22"/>
          <w:szCs w:val="22"/>
          <w:u w:val="single"/>
        </w:rPr>
        <w:t>Anmerkungen für Redakture</w:t>
      </w:r>
    </w:p>
    <w:p w:rsidR="002D4060" w:rsidRPr="00C62786" w:rsidRDefault="002D4060" w:rsidP="002D4060">
      <w:pPr>
        <w:spacing w:after="0" w:line="240" w:lineRule="auto"/>
        <w:rPr>
          <w:rFonts w:asciiTheme="minorHAnsi" w:hAnsiTheme="minorHAnsi"/>
          <w:b/>
          <w:sz w:val="22"/>
          <w:szCs w:val="22"/>
        </w:rPr>
      </w:pPr>
    </w:p>
    <w:p w:rsidR="002D4060" w:rsidRPr="00664898" w:rsidRDefault="002D4060" w:rsidP="002D4060">
      <w:pPr>
        <w:spacing w:after="0" w:line="240" w:lineRule="auto"/>
        <w:rPr>
          <w:rFonts w:asciiTheme="minorHAnsi" w:hAnsiTheme="minorHAnsi"/>
          <w:sz w:val="22"/>
          <w:szCs w:val="22"/>
        </w:rPr>
      </w:pPr>
      <w:r w:rsidRPr="00C62786">
        <w:rPr>
          <w:rFonts w:asciiTheme="minorHAnsi" w:hAnsiTheme="minorHAnsi"/>
          <w:sz w:val="22"/>
          <w:szCs w:val="22"/>
        </w:rPr>
        <w:lastRenderedPageBreak/>
        <w:t xml:space="preserve">Sie finden weitere Details und Bildmaterial zu dieser Pressemitteilung in unserem Newsroom: </w:t>
      </w:r>
      <w:hyperlink r:id="rId11" w:history="1">
        <w:r w:rsidRPr="00C62786">
          <w:rPr>
            <w:rStyle w:val="Hyperlink"/>
            <w:rFonts w:asciiTheme="minorHAnsi" w:hAnsiTheme="minorHAnsi"/>
            <w:sz w:val="22"/>
            <w:szCs w:val="22"/>
          </w:rPr>
          <w:t>www.element14.com/news</w:t>
        </w:r>
      </w:hyperlink>
    </w:p>
    <w:p w:rsidR="002D4060" w:rsidRPr="00C62786" w:rsidRDefault="002D4060" w:rsidP="002D4060">
      <w:pPr>
        <w:spacing w:after="0" w:line="240" w:lineRule="auto"/>
        <w:rPr>
          <w:rFonts w:asciiTheme="minorHAnsi" w:hAnsiTheme="minorHAnsi"/>
          <w:sz w:val="22"/>
          <w:szCs w:val="22"/>
        </w:rPr>
      </w:pPr>
    </w:p>
    <w:p w:rsidR="002D4060" w:rsidRPr="00C62786" w:rsidRDefault="002D4060" w:rsidP="002D4060">
      <w:pPr>
        <w:spacing w:after="0" w:line="240" w:lineRule="auto"/>
        <w:rPr>
          <w:rFonts w:asciiTheme="minorHAnsi" w:hAnsiTheme="minorHAnsi"/>
          <w:b/>
          <w:bCs/>
          <w:sz w:val="22"/>
          <w:szCs w:val="22"/>
        </w:rPr>
      </w:pPr>
      <w:r w:rsidRPr="00C62786">
        <w:rPr>
          <w:rFonts w:asciiTheme="minorHAnsi" w:hAnsiTheme="minorHAnsi"/>
          <w:b/>
          <w:bCs/>
          <w:sz w:val="22"/>
          <w:szCs w:val="22"/>
        </w:rPr>
        <w:t>Über uns</w:t>
      </w:r>
    </w:p>
    <w:p w:rsidR="002D4060" w:rsidRPr="00C62786" w:rsidRDefault="002D4060" w:rsidP="002D4060">
      <w:pPr>
        <w:spacing w:after="0" w:line="240" w:lineRule="auto"/>
        <w:rPr>
          <w:rFonts w:asciiTheme="minorHAnsi" w:hAnsiTheme="minorHAnsi"/>
          <w:b/>
          <w:bCs/>
          <w:sz w:val="22"/>
          <w:szCs w:val="22"/>
          <w:u w:val="single"/>
        </w:rPr>
      </w:pPr>
    </w:p>
    <w:p w:rsidR="002D4060" w:rsidRDefault="001C436F" w:rsidP="002D4060">
      <w:pPr>
        <w:spacing w:after="0" w:line="240" w:lineRule="auto"/>
        <w:rPr>
          <w:rFonts w:asciiTheme="minorHAnsi" w:hAnsiTheme="minorHAnsi"/>
          <w:sz w:val="22"/>
          <w:szCs w:val="22"/>
        </w:rPr>
      </w:pPr>
      <w:hyperlink r:id="rId12" w:history="1">
        <w:r w:rsidR="002D4060" w:rsidRPr="00961364">
          <w:rPr>
            <w:rStyle w:val="Hyperlink"/>
            <w:rFonts w:asciiTheme="minorHAnsi" w:hAnsiTheme="minorHAnsi" w:cs="Arial Unicode MS"/>
            <w:sz w:val="22"/>
            <w:szCs w:val="22"/>
          </w:rPr>
          <w:t>Farnell element14</w:t>
        </w:r>
      </w:hyperlink>
      <w:r w:rsidR="002D4060" w:rsidRPr="00C62786">
        <w:rPr>
          <w:rFonts w:asciiTheme="minorHAnsi" w:hAnsiTheme="minorHAnsi"/>
          <w:sz w:val="22"/>
          <w:szCs w:val="22"/>
        </w:rPr>
        <w:t xml:space="preserve"> gehört zur </w:t>
      </w:r>
      <w:hyperlink r:id="rId13" w:history="1">
        <w:r w:rsidR="002D4060" w:rsidRPr="00C62786">
          <w:rPr>
            <w:rStyle w:val="Hyperlink"/>
            <w:rFonts w:asciiTheme="minorHAnsi" w:hAnsiTheme="minorHAnsi"/>
            <w:sz w:val="22"/>
            <w:szCs w:val="22"/>
          </w:rPr>
          <w:t xml:space="preserve">Premier Farnell </w:t>
        </w:r>
      </w:hyperlink>
      <w:r w:rsidR="002D4060" w:rsidRPr="00C62786">
        <w:rPr>
          <w:rFonts w:asciiTheme="minorHAnsi" w:hAnsiTheme="minorHAnsi"/>
          <w:sz w:val="22"/>
          <w:szCs w:val="22"/>
        </w:rPr>
        <w:t xml:space="preserve">-Unternehmensgruppe, einem weltweiten Technologieführer mit über 80 Jahren Erfahrung im High-Service-Vertrieb von Technologieprodukten und Lösungen für die Konzeption, Fertigung, Wartung und Reparatur von elektronischen Systemen. Als marktführender </w:t>
      </w:r>
      <w:r w:rsidR="005238F6" w:rsidRPr="005238F6">
        <w:rPr>
          <w:rFonts w:asciiTheme="minorHAnsi" w:hAnsiTheme="minorHAnsi"/>
          <w:sz w:val="22"/>
          <w:szCs w:val="22"/>
        </w:rPr>
        <w:t>der Development Distributor</w:t>
      </w:r>
      <w:r w:rsidR="005238F6">
        <w:rPr>
          <w:rFonts w:asciiTheme="minorHAnsi" w:hAnsiTheme="minorHAnsi"/>
          <w:sz w:val="22"/>
          <w:szCs w:val="22"/>
        </w:rPr>
        <w:t xml:space="preserve"> </w:t>
      </w:r>
      <w:r w:rsidR="002D4060" w:rsidRPr="00C62786">
        <w:rPr>
          <w:rFonts w:asciiTheme="minorHAnsi" w:hAnsiTheme="minorHAnsi"/>
          <w:sz w:val="22"/>
          <w:szCs w:val="22"/>
        </w:rPr>
        <w:t>nutzt Premier Farnell diese Erfahrungen, um seine breite Kundenbasis, von Bastlern bis hin zu Ingenieuren, Wartungstechnikern und Einkäufern, zu unterstützen. Durch die Zusammenarbeit mit führenden Markenherstellern und Startups entwickelt Premier Farnell neue Lösungen für die Industrie und unterstützt so die nächste Generation von Ingenieuren.</w:t>
      </w:r>
    </w:p>
    <w:p w:rsidR="002D4060" w:rsidRPr="00C62786" w:rsidRDefault="002D4060" w:rsidP="002D4060">
      <w:pPr>
        <w:spacing w:after="0" w:line="240" w:lineRule="auto"/>
        <w:rPr>
          <w:rFonts w:asciiTheme="minorHAnsi" w:hAnsiTheme="minorHAnsi"/>
          <w:sz w:val="22"/>
          <w:szCs w:val="22"/>
        </w:rPr>
      </w:pPr>
    </w:p>
    <w:p w:rsidR="002D4060" w:rsidRPr="00C62786" w:rsidRDefault="002D4060" w:rsidP="002D4060">
      <w:pPr>
        <w:spacing w:after="0" w:line="240" w:lineRule="auto"/>
        <w:rPr>
          <w:rFonts w:asciiTheme="minorHAnsi" w:hAnsiTheme="minorHAnsi"/>
          <w:sz w:val="22"/>
          <w:szCs w:val="22"/>
          <w:shd w:val="clear" w:color="auto" w:fill="FFFFFF"/>
        </w:rPr>
      </w:pPr>
      <w:r w:rsidRPr="00175F71">
        <w:rPr>
          <w:rFonts w:asciiTheme="minorHAnsi" w:hAnsiTheme="minorHAnsi"/>
          <w:sz w:val="22"/>
          <w:szCs w:val="22"/>
        </w:rPr>
        <w:t>Premier Farn</w:t>
      </w:r>
      <w:r w:rsidR="00377CA5" w:rsidRPr="00175F71">
        <w:rPr>
          <w:rFonts w:asciiTheme="minorHAnsi" w:hAnsiTheme="minorHAnsi"/>
          <w:sz w:val="22"/>
          <w:szCs w:val="22"/>
        </w:rPr>
        <w:t xml:space="preserve">ell ist ein Geschäftsbereich </w:t>
      </w:r>
      <w:r w:rsidRPr="00175F71">
        <w:rPr>
          <w:rFonts w:asciiTheme="minorHAnsi" w:hAnsiTheme="minorHAnsi"/>
          <w:sz w:val="22"/>
          <w:szCs w:val="22"/>
        </w:rPr>
        <w:t xml:space="preserve"> </w:t>
      </w:r>
      <w:r w:rsidR="00377CA5" w:rsidRPr="00175F71">
        <w:rPr>
          <w:rFonts w:asciiTheme="minorHAnsi" w:hAnsiTheme="minorHAnsi"/>
          <w:sz w:val="22"/>
          <w:szCs w:val="22"/>
        </w:rPr>
        <w:t>von</w:t>
      </w:r>
      <w:r w:rsidRPr="00175F71">
        <w:rPr>
          <w:rFonts w:asciiTheme="minorHAnsi" w:hAnsiTheme="minorHAnsi"/>
          <w:sz w:val="22"/>
          <w:szCs w:val="22"/>
        </w:rPr>
        <w:t xml:space="preserve"> Avnet Inc., </w:t>
      </w:r>
      <w:r w:rsidRPr="00175F71">
        <w:rPr>
          <w:rFonts w:asciiTheme="minorHAnsi" w:hAnsiTheme="minorHAnsi"/>
          <w:sz w:val="22"/>
          <w:szCs w:val="22"/>
          <w:shd w:val="clear" w:color="auto" w:fill="FFFFFF"/>
        </w:rPr>
        <w:t>(</w:t>
      </w:r>
      <w:r w:rsidRPr="00C62786">
        <w:rPr>
          <w:rFonts w:asciiTheme="minorHAnsi" w:hAnsiTheme="minorHAnsi"/>
          <w:sz w:val="22"/>
          <w:szCs w:val="22"/>
          <w:shd w:val="clear" w:color="auto" w:fill="FFFFFF"/>
        </w:rPr>
        <w:t xml:space="preserve">Börsencode an der New Yorker Börse NYSE:AVT). Premier Farnell firmiert in Europa unter </w:t>
      </w:r>
      <w:r w:rsidRPr="00C62786">
        <w:rPr>
          <w:rFonts w:asciiTheme="minorHAnsi" w:hAnsiTheme="minorHAnsi"/>
          <w:sz w:val="22"/>
          <w:szCs w:val="22"/>
        </w:rPr>
        <w:t> </w:t>
      </w:r>
      <w:hyperlink r:id="rId14" w:history="1">
        <w:r w:rsidRPr="00C62786">
          <w:rPr>
            <w:rStyle w:val="Hyperlink"/>
            <w:rFonts w:asciiTheme="minorHAnsi" w:hAnsiTheme="minorHAnsi"/>
            <w:sz w:val="22"/>
            <w:szCs w:val="22"/>
          </w:rPr>
          <w:t>Farnell element14</w:t>
        </w:r>
      </w:hyperlink>
      <w:r w:rsidRPr="00C62786">
        <w:rPr>
          <w:rFonts w:asciiTheme="minorHAnsi" w:hAnsiTheme="minorHAnsi"/>
          <w:sz w:val="22"/>
          <w:szCs w:val="22"/>
        </w:rPr>
        <w:t> , unter </w:t>
      </w:r>
      <w:hyperlink r:id="rId15" w:history="1">
        <w:r w:rsidRPr="00C62786">
          <w:rPr>
            <w:rStyle w:val="Hyperlink"/>
            <w:rFonts w:asciiTheme="minorHAnsi" w:hAnsiTheme="minorHAnsi"/>
            <w:sz w:val="22"/>
            <w:szCs w:val="22"/>
          </w:rPr>
          <w:t>Newark element14</w:t>
        </w:r>
      </w:hyperlink>
      <w:r w:rsidRPr="00C62786">
        <w:rPr>
          <w:rFonts w:asciiTheme="minorHAnsi" w:hAnsiTheme="minorHAnsi"/>
          <w:sz w:val="22"/>
          <w:szCs w:val="22"/>
        </w:rPr>
        <w:t xml:space="preserve"> in Nordamerika und unter </w:t>
      </w:r>
      <w:hyperlink r:id="rId16" w:history="1">
        <w:r w:rsidRPr="00C62786">
          <w:rPr>
            <w:rStyle w:val="Hyperlink"/>
            <w:rFonts w:asciiTheme="minorHAnsi" w:hAnsiTheme="minorHAnsi"/>
            <w:sz w:val="22"/>
            <w:szCs w:val="22"/>
          </w:rPr>
          <w:t>element14</w:t>
        </w:r>
      </w:hyperlink>
      <w:r w:rsidRPr="00C62786">
        <w:rPr>
          <w:rFonts w:asciiTheme="minorHAnsi" w:hAnsiTheme="minorHAnsi"/>
          <w:sz w:val="22"/>
          <w:szCs w:val="22"/>
        </w:rPr>
        <w:t> im Asien-Pazifik-Raum</w:t>
      </w:r>
      <w:r w:rsidRPr="00C62786">
        <w:rPr>
          <w:rFonts w:asciiTheme="minorHAnsi" w:hAnsiTheme="minorHAnsi"/>
          <w:sz w:val="22"/>
          <w:szCs w:val="22"/>
          <w:shd w:val="clear" w:color="auto" w:fill="FFFFFF"/>
        </w:rPr>
        <w:t>.</w:t>
      </w:r>
      <w:r w:rsidRPr="00C62786">
        <w:rPr>
          <w:rFonts w:asciiTheme="minorHAnsi" w:hAnsiTheme="minorHAnsi"/>
          <w:sz w:val="22"/>
          <w:szCs w:val="22"/>
        </w:rPr>
        <w:t xml:space="preserve"> Die Premier Farnell-Gruppe wird von einer weltumspannenden Lieferkette unterstützt, die 3500 Lieferanten umfasst und verfügt über ein umfassendes Bestandsprofil, das mit dem Ziel entwickelt wurde, die Bedarfe innovativer Kunden an jedem Ort der Welt zu planen und zu decken.</w:t>
      </w:r>
    </w:p>
    <w:p w:rsidR="002D4060" w:rsidRDefault="002D4060" w:rsidP="002D4060">
      <w:pPr>
        <w:shd w:val="clear" w:color="auto" w:fill="FFFFFF"/>
        <w:spacing w:after="0" w:line="240" w:lineRule="auto"/>
        <w:rPr>
          <w:rFonts w:asciiTheme="minorHAnsi" w:hAnsiTheme="minorHAnsi"/>
          <w:sz w:val="22"/>
          <w:szCs w:val="22"/>
        </w:rPr>
      </w:pPr>
    </w:p>
    <w:p w:rsidR="002D4060" w:rsidRPr="00C62786" w:rsidRDefault="002D4060" w:rsidP="002D4060">
      <w:pPr>
        <w:shd w:val="clear" w:color="auto" w:fill="FFFFFF"/>
        <w:spacing w:after="0" w:line="240" w:lineRule="auto"/>
        <w:rPr>
          <w:rFonts w:asciiTheme="minorHAnsi" w:hAnsiTheme="minorHAnsi"/>
          <w:sz w:val="22"/>
          <w:szCs w:val="22"/>
        </w:rPr>
      </w:pPr>
    </w:p>
    <w:p w:rsidR="002D4060" w:rsidRDefault="002D4060" w:rsidP="002D4060">
      <w:pPr>
        <w:shd w:val="clear" w:color="auto" w:fill="FFFFFF"/>
        <w:spacing w:after="0" w:line="240" w:lineRule="auto"/>
        <w:rPr>
          <w:rStyle w:val="Hyperlink"/>
          <w:rFonts w:asciiTheme="minorHAnsi" w:hAnsiTheme="minorHAnsi"/>
          <w:sz w:val="22"/>
          <w:szCs w:val="22"/>
        </w:rPr>
      </w:pPr>
      <w:r w:rsidRPr="00C62786">
        <w:rPr>
          <w:rFonts w:asciiTheme="minorHAnsi" w:hAnsiTheme="minorHAnsi"/>
          <w:sz w:val="22"/>
          <w:szCs w:val="22"/>
        </w:rPr>
        <w:t xml:space="preserve">Weitere Informationen finden Sie auf unserer Homepage unter </w:t>
      </w:r>
      <w:hyperlink r:id="rId17" w:history="1">
        <w:r w:rsidRPr="00C62786">
          <w:rPr>
            <w:rStyle w:val="Hyperlink"/>
            <w:rFonts w:asciiTheme="minorHAnsi" w:hAnsiTheme="minorHAnsi"/>
            <w:sz w:val="22"/>
            <w:szCs w:val="22"/>
          </w:rPr>
          <w:t>http://www.premierfarnell.com</w:t>
        </w:r>
      </w:hyperlink>
    </w:p>
    <w:p w:rsidR="002D4060" w:rsidRPr="00C62786" w:rsidRDefault="002D4060" w:rsidP="002D4060">
      <w:pPr>
        <w:shd w:val="clear" w:color="auto" w:fill="FFFFFF"/>
        <w:spacing w:after="0" w:line="240" w:lineRule="auto"/>
        <w:rPr>
          <w:rFonts w:asciiTheme="minorHAnsi" w:hAnsiTheme="minorHAnsi"/>
          <w:sz w:val="22"/>
          <w:szCs w:val="22"/>
        </w:rPr>
      </w:pPr>
    </w:p>
    <w:p w:rsidR="002D4060" w:rsidRPr="00C62786" w:rsidRDefault="002D4060" w:rsidP="002D4060">
      <w:pPr>
        <w:pStyle w:val="ColorfulList-Accent11"/>
        <w:spacing w:after="0" w:line="240" w:lineRule="auto"/>
        <w:ind w:left="0"/>
        <w:rPr>
          <w:rFonts w:asciiTheme="minorHAnsi" w:hAnsiTheme="minorHAnsi" w:cs="Arial"/>
          <w:color w:val="000000"/>
        </w:rPr>
      </w:pPr>
      <w:r w:rsidRPr="00C62786">
        <w:rPr>
          <w:rFonts w:asciiTheme="minorHAnsi" w:hAnsiTheme="minorHAnsi" w:cs="Arial"/>
          <w:b/>
          <w:bCs/>
        </w:rPr>
        <w:t>PR-Agentur für Europa:</w:t>
      </w:r>
      <w:r w:rsidRPr="00C62786">
        <w:rPr>
          <w:rFonts w:asciiTheme="minorHAnsi" w:hAnsiTheme="minorHAnsi" w:cs="Arial"/>
          <w:b/>
          <w:color w:val="000000"/>
          <w:u w:val="single"/>
        </w:rPr>
        <w:t xml:space="preserve"> </w:t>
      </w:r>
    </w:p>
    <w:p w:rsidR="002D4060" w:rsidRPr="00C62786" w:rsidRDefault="002D4060" w:rsidP="002D4060">
      <w:pPr>
        <w:spacing w:after="0" w:line="240" w:lineRule="auto"/>
        <w:rPr>
          <w:rFonts w:asciiTheme="minorHAnsi" w:hAnsiTheme="minorHAnsi" w:cs="Arial"/>
          <w:b/>
          <w:bCs/>
          <w:sz w:val="22"/>
          <w:szCs w:val="22"/>
        </w:rPr>
      </w:pPr>
      <w:r w:rsidRPr="00C62786">
        <w:rPr>
          <w:rFonts w:asciiTheme="minorHAnsi" w:hAnsiTheme="minorHAnsi" w:cs="Arial"/>
          <w:b/>
          <w:bCs/>
          <w:sz w:val="22"/>
          <w:szCs w:val="22"/>
        </w:rPr>
        <w:t>Freya Ward</w:t>
      </w:r>
    </w:p>
    <w:p w:rsidR="002D4060" w:rsidRPr="00377CA5" w:rsidRDefault="002D4060" w:rsidP="002D4060">
      <w:pPr>
        <w:spacing w:after="0" w:line="240" w:lineRule="auto"/>
        <w:rPr>
          <w:rFonts w:asciiTheme="minorHAnsi" w:hAnsiTheme="minorHAnsi"/>
          <w:b/>
          <w:sz w:val="22"/>
          <w:szCs w:val="22"/>
          <w:lang w:val="en-US"/>
        </w:rPr>
      </w:pPr>
      <w:r w:rsidRPr="00377CA5">
        <w:rPr>
          <w:rFonts w:asciiTheme="minorHAnsi" w:hAnsiTheme="minorHAnsi"/>
          <w:b/>
          <w:sz w:val="22"/>
          <w:szCs w:val="22"/>
          <w:lang w:val="en-US"/>
        </w:rPr>
        <w:t>Napier Partnership</w:t>
      </w:r>
    </w:p>
    <w:p w:rsidR="002D4060" w:rsidRPr="00377CA5" w:rsidRDefault="002D4060" w:rsidP="002D4060">
      <w:pPr>
        <w:spacing w:after="0" w:line="240" w:lineRule="auto"/>
        <w:rPr>
          <w:rFonts w:asciiTheme="minorHAnsi" w:hAnsiTheme="minorHAnsi"/>
          <w:sz w:val="22"/>
          <w:szCs w:val="22"/>
          <w:lang w:val="en-US"/>
        </w:rPr>
      </w:pPr>
      <w:r w:rsidRPr="00377CA5">
        <w:rPr>
          <w:rFonts w:asciiTheme="minorHAnsi" w:hAnsiTheme="minorHAnsi"/>
          <w:sz w:val="22"/>
          <w:szCs w:val="22"/>
          <w:lang w:val="en-US"/>
        </w:rPr>
        <w:t>Tel: +44 1243 531123</w:t>
      </w:r>
    </w:p>
    <w:p w:rsidR="002D4060" w:rsidRPr="00377CA5" w:rsidRDefault="002D4060" w:rsidP="002D4060">
      <w:pPr>
        <w:spacing w:after="0" w:line="240" w:lineRule="auto"/>
        <w:rPr>
          <w:rStyle w:val="Hyperlink"/>
          <w:rFonts w:asciiTheme="minorHAnsi" w:hAnsiTheme="minorHAnsi"/>
          <w:sz w:val="22"/>
          <w:szCs w:val="22"/>
          <w:lang w:val="en-US"/>
        </w:rPr>
      </w:pPr>
      <w:r w:rsidRPr="00377CA5">
        <w:rPr>
          <w:rFonts w:asciiTheme="minorHAnsi" w:hAnsiTheme="minorHAnsi"/>
          <w:sz w:val="22"/>
          <w:szCs w:val="22"/>
          <w:lang w:val="en-US"/>
        </w:rPr>
        <w:t xml:space="preserve">Email: </w:t>
      </w:r>
      <w:hyperlink r:id="rId18" w:history="1">
        <w:r w:rsidRPr="00377CA5">
          <w:rPr>
            <w:rStyle w:val="Hyperlink"/>
            <w:rFonts w:asciiTheme="minorHAnsi" w:hAnsiTheme="minorHAnsi"/>
            <w:sz w:val="22"/>
            <w:szCs w:val="22"/>
            <w:lang w:val="en-US"/>
          </w:rPr>
          <w:t>freya@napierb2b.com</w:t>
        </w:r>
      </w:hyperlink>
    </w:p>
    <w:p w:rsidR="002D4060" w:rsidRPr="00377CA5" w:rsidRDefault="002D4060" w:rsidP="002D4060">
      <w:pPr>
        <w:spacing w:after="0" w:line="240" w:lineRule="auto"/>
        <w:rPr>
          <w:rFonts w:asciiTheme="minorHAnsi" w:hAnsiTheme="minorHAnsi"/>
          <w:b/>
          <w:sz w:val="22"/>
          <w:szCs w:val="22"/>
          <w:lang w:val="en-US"/>
        </w:rPr>
      </w:pPr>
    </w:p>
    <w:p w:rsidR="002D4060" w:rsidRPr="00377CA5" w:rsidRDefault="002D4060" w:rsidP="002D4060">
      <w:pPr>
        <w:spacing w:after="0" w:line="240" w:lineRule="auto"/>
        <w:rPr>
          <w:rFonts w:asciiTheme="minorHAnsi" w:hAnsiTheme="minorHAnsi" w:cs="Arial"/>
          <w:b/>
          <w:bCs/>
          <w:sz w:val="22"/>
          <w:szCs w:val="22"/>
          <w:lang w:val="en-US"/>
        </w:rPr>
      </w:pPr>
      <w:r w:rsidRPr="00377CA5">
        <w:rPr>
          <w:rFonts w:asciiTheme="minorHAnsi" w:hAnsiTheme="minorHAnsi" w:cs="Arial"/>
          <w:b/>
          <w:bCs/>
          <w:sz w:val="22"/>
          <w:szCs w:val="22"/>
          <w:lang w:val="en-US"/>
        </w:rPr>
        <w:t>Premier Farnell:</w:t>
      </w:r>
    </w:p>
    <w:p w:rsidR="002D4060" w:rsidRPr="00377CA5" w:rsidRDefault="002D4060" w:rsidP="002D4060">
      <w:pPr>
        <w:spacing w:after="0" w:line="240" w:lineRule="auto"/>
        <w:rPr>
          <w:rFonts w:asciiTheme="minorHAnsi" w:hAnsiTheme="minorHAnsi" w:cs="Arial"/>
          <w:b/>
          <w:bCs/>
          <w:sz w:val="22"/>
          <w:szCs w:val="22"/>
          <w:lang w:val="en-US"/>
        </w:rPr>
      </w:pPr>
      <w:r w:rsidRPr="00377CA5">
        <w:rPr>
          <w:rFonts w:asciiTheme="minorHAnsi" w:hAnsiTheme="minorHAnsi" w:cs="Arial"/>
          <w:b/>
          <w:bCs/>
          <w:sz w:val="22"/>
          <w:szCs w:val="22"/>
          <w:lang w:val="en-US"/>
        </w:rPr>
        <w:t>Holly Smart</w:t>
      </w:r>
    </w:p>
    <w:p w:rsidR="002D4060" w:rsidRPr="00377CA5" w:rsidRDefault="002D4060" w:rsidP="002D4060">
      <w:pPr>
        <w:spacing w:after="0" w:line="240" w:lineRule="auto"/>
        <w:rPr>
          <w:rFonts w:asciiTheme="minorHAnsi" w:hAnsiTheme="minorHAnsi" w:cs="Arial"/>
          <w:b/>
          <w:bCs/>
          <w:sz w:val="22"/>
          <w:szCs w:val="22"/>
          <w:lang w:val="en-US"/>
        </w:rPr>
      </w:pPr>
      <w:r w:rsidRPr="00377CA5">
        <w:rPr>
          <w:rFonts w:asciiTheme="minorHAnsi" w:hAnsiTheme="minorHAnsi" w:cs="Arial"/>
          <w:b/>
          <w:bCs/>
          <w:sz w:val="22"/>
          <w:szCs w:val="22"/>
          <w:lang w:val="en-US"/>
        </w:rPr>
        <w:t>Head of PR and External Communications</w:t>
      </w:r>
    </w:p>
    <w:p w:rsidR="002D4060" w:rsidRPr="00C42FD4" w:rsidRDefault="002D4060" w:rsidP="002D4060">
      <w:pPr>
        <w:spacing w:after="0" w:line="240" w:lineRule="auto"/>
        <w:rPr>
          <w:rFonts w:asciiTheme="minorHAnsi" w:hAnsiTheme="minorHAnsi" w:cs="Arial"/>
          <w:bCs/>
          <w:sz w:val="22"/>
          <w:szCs w:val="22"/>
        </w:rPr>
      </w:pPr>
      <w:r w:rsidRPr="00C42FD4">
        <w:rPr>
          <w:rFonts w:asciiTheme="minorHAnsi" w:hAnsiTheme="minorHAnsi" w:cs="Arial"/>
          <w:bCs/>
          <w:sz w:val="22"/>
          <w:szCs w:val="22"/>
        </w:rPr>
        <w:t>Tel: +44 113 2485188</w:t>
      </w:r>
    </w:p>
    <w:p w:rsidR="002D4060" w:rsidRPr="00C42FD4" w:rsidRDefault="002D4060" w:rsidP="002D4060">
      <w:pPr>
        <w:spacing w:after="0" w:line="240" w:lineRule="auto"/>
        <w:rPr>
          <w:rFonts w:asciiTheme="minorHAnsi" w:hAnsiTheme="minorHAnsi" w:cs="Arial"/>
          <w:color w:val="000000"/>
          <w:sz w:val="22"/>
          <w:szCs w:val="22"/>
          <w:u w:val="single"/>
          <w:lang w:val="en-GB"/>
        </w:rPr>
      </w:pPr>
      <w:r w:rsidRPr="00C42FD4">
        <w:rPr>
          <w:rFonts w:asciiTheme="minorHAnsi" w:hAnsiTheme="minorHAnsi" w:cs="Arial"/>
          <w:bCs/>
          <w:sz w:val="22"/>
          <w:szCs w:val="22"/>
        </w:rPr>
        <w:t>Email:</w:t>
      </w:r>
      <w:r w:rsidRPr="00C42FD4">
        <w:rPr>
          <w:rFonts w:asciiTheme="minorHAnsi" w:hAnsiTheme="minorHAnsi" w:cs="Arial"/>
          <w:b/>
          <w:bCs/>
          <w:sz w:val="22"/>
          <w:szCs w:val="22"/>
        </w:rPr>
        <w:t> </w:t>
      </w:r>
      <w:hyperlink r:id="rId19" w:history="1">
        <w:r w:rsidRPr="00C42FD4">
          <w:rPr>
            <w:rStyle w:val="Hyperlink"/>
            <w:rFonts w:asciiTheme="minorHAnsi" w:hAnsiTheme="minorHAnsi" w:cs="Arial"/>
            <w:sz w:val="22"/>
            <w:szCs w:val="22"/>
          </w:rPr>
          <w:t>hsmart@premierfarnell.com</w:t>
        </w:r>
      </w:hyperlink>
      <w:r w:rsidRPr="00C42FD4">
        <w:rPr>
          <w:rFonts w:asciiTheme="minorHAnsi" w:hAnsiTheme="minorHAnsi" w:cs="Arial"/>
          <w:bCs/>
          <w:sz w:val="22"/>
          <w:szCs w:val="22"/>
        </w:rPr>
        <w:t xml:space="preserve">  </w:t>
      </w:r>
    </w:p>
    <w:p w:rsidR="002D4060" w:rsidRPr="00C62786" w:rsidRDefault="002D4060" w:rsidP="002D4060">
      <w:pPr>
        <w:spacing w:after="0" w:line="240" w:lineRule="auto"/>
        <w:rPr>
          <w:rFonts w:asciiTheme="minorHAnsi" w:hAnsiTheme="minorHAnsi"/>
          <w:sz w:val="22"/>
          <w:szCs w:val="22"/>
        </w:rPr>
      </w:pPr>
    </w:p>
    <w:p w:rsidR="002D4060" w:rsidRPr="00C62786" w:rsidRDefault="002D4060" w:rsidP="002D4060">
      <w:pPr>
        <w:spacing w:after="0" w:line="240" w:lineRule="auto"/>
        <w:rPr>
          <w:rFonts w:asciiTheme="minorHAnsi" w:hAnsiTheme="minorHAnsi"/>
          <w:sz w:val="22"/>
          <w:szCs w:val="22"/>
        </w:rPr>
      </w:pPr>
    </w:p>
    <w:p w:rsidR="00FF1053" w:rsidRPr="00E25057" w:rsidRDefault="00FF1053" w:rsidP="002D4060">
      <w:pPr>
        <w:pStyle w:val="ColorfulList-Accent11"/>
        <w:spacing w:after="0"/>
        <w:ind w:left="0"/>
        <w:jc w:val="center"/>
        <w:rPr>
          <w:rFonts w:asciiTheme="minorHAnsi" w:hAnsiTheme="minorHAnsi"/>
          <w:b/>
        </w:rPr>
      </w:pPr>
    </w:p>
    <w:sectPr w:rsidR="00FF1053" w:rsidRPr="00E25057" w:rsidSect="00D978B8">
      <w:headerReference w:type="default" r:id="rId20"/>
      <w:footerReference w:type="default" r:id="rId21"/>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59" w:rsidRDefault="00B65E59">
      <w:pPr>
        <w:spacing w:after="0" w:line="240" w:lineRule="auto"/>
      </w:pPr>
      <w:r>
        <w:separator/>
      </w:r>
    </w:p>
  </w:endnote>
  <w:endnote w:type="continuationSeparator" w:id="0">
    <w:p w:rsidR="00B65E59" w:rsidRDefault="00B6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Std-Lt">
    <w:altName w:val="MS Gothic"/>
    <w:panose1 w:val="00000000000000000000"/>
    <w:charset w:val="80"/>
    <w:family w:val="swiss"/>
    <w:notTrueType/>
    <w:pitch w:val="default"/>
    <w:sig w:usb0="00000000" w:usb1="08070000" w:usb2="00000010" w:usb3="00000000" w:csb0="00020000"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NeueLTStd-Roman">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77" w:rsidRPr="006A6477" w:rsidRDefault="006A6477">
    <w:pPr>
      <w:pStyle w:val="Footer"/>
      <w:rPr>
        <w:rFonts w:asciiTheme="minorHAnsi" w:hAnsiTheme="minorHAnsi" w:cstheme="minorHAnsi"/>
      </w:rPr>
    </w:pPr>
    <w:r w:rsidRPr="006A6477">
      <w:rPr>
        <w:rFonts w:asciiTheme="minorHAnsi" w:hAnsiTheme="minorHAnsi" w:cstheme="minorHAnsi"/>
      </w:rPr>
      <w:t>FAR146de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59" w:rsidRDefault="00B65E59">
      <w:pPr>
        <w:spacing w:after="0" w:line="240" w:lineRule="auto"/>
      </w:pPr>
      <w:r>
        <w:separator/>
      </w:r>
    </w:p>
  </w:footnote>
  <w:footnote w:type="continuationSeparator" w:id="0">
    <w:p w:rsidR="00B65E59" w:rsidRDefault="00B6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B5" w:rsidRDefault="001104B5" w:rsidP="00960163">
    <w:pPr>
      <w:pStyle w:val="Header"/>
      <w:jc w:val="center"/>
    </w:pPr>
  </w:p>
  <w:p w:rsidR="001104B5" w:rsidRDefault="001104B5"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1104B5" w:rsidRDefault="001104B5" w:rsidP="00960163">
    <w:pPr>
      <w:pStyle w:val="Header"/>
      <w:jc w:val="center"/>
    </w:pPr>
  </w:p>
  <w:p w:rsidR="001104B5" w:rsidRDefault="001104B5"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B63A6"/>
    <w:multiLevelType w:val="hybridMultilevel"/>
    <w:tmpl w:val="288CEE56"/>
    <w:lvl w:ilvl="0" w:tplc="0E7E5E04">
      <w:start w:val="1"/>
      <w:numFmt w:val="bullet"/>
      <w:lvlText w:val="•"/>
      <w:lvlJc w:val="left"/>
      <w:pPr>
        <w:tabs>
          <w:tab w:val="num" w:pos="720"/>
        </w:tabs>
        <w:ind w:left="720" w:hanging="360"/>
      </w:pPr>
      <w:rPr>
        <w:rFonts w:ascii="Arial" w:hAnsi="Arial" w:hint="default"/>
      </w:rPr>
    </w:lvl>
    <w:lvl w:ilvl="1" w:tplc="3EEC5D4A">
      <w:start w:val="1187"/>
      <w:numFmt w:val="bullet"/>
      <w:lvlText w:val="◦"/>
      <w:lvlJc w:val="left"/>
      <w:pPr>
        <w:tabs>
          <w:tab w:val="num" w:pos="1440"/>
        </w:tabs>
        <w:ind w:left="1440" w:hanging="360"/>
      </w:pPr>
      <w:rPr>
        <w:rFonts w:ascii="Arial" w:hAnsi="Arial" w:hint="default"/>
      </w:rPr>
    </w:lvl>
    <w:lvl w:ilvl="2" w:tplc="348C5C70" w:tentative="1">
      <w:start w:val="1"/>
      <w:numFmt w:val="bullet"/>
      <w:lvlText w:val="•"/>
      <w:lvlJc w:val="left"/>
      <w:pPr>
        <w:tabs>
          <w:tab w:val="num" w:pos="2160"/>
        </w:tabs>
        <w:ind w:left="2160" w:hanging="360"/>
      </w:pPr>
      <w:rPr>
        <w:rFonts w:ascii="Arial" w:hAnsi="Arial" w:hint="default"/>
      </w:rPr>
    </w:lvl>
    <w:lvl w:ilvl="3" w:tplc="A71A1CD8" w:tentative="1">
      <w:start w:val="1"/>
      <w:numFmt w:val="bullet"/>
      <w:lvlText w:val="•"/>
      <w:lvlJc w:val="left"/>
      <w:pPr>
        <w:tabs>
          <w:tab w:val="num" w:pos="2880"/>
        </w:tabs>
        <w:ind w:left="2880" w:hanging="360"/>
      </w:pPr>
      <w:rPr>
        <w:rFonts w:ascii="Arial" w:hAnsi="Arial" w:hint="default"/>
      </w:rPr>
    </w:lvl>
    <w:lvl w:ilvl="4" w:tplc="EF9233E2" w:tentative="1">
      <w:start w:val="1"/>
      <w:numFmt w:val="bullet"/>
      <w:lvlText w:val="•"/>
      <w:lvlJc w:val="left"/>
      <w:pPr>
        <w:tabs>
          <w:tab w:val="num" w:pos="3600"/>
        </w:tabs>
        <w:ind w:left="3600" w:hanging="360"/>
      </w:pPr>
      <w:rPr>
        <w:rFonts w:ascii="Arial" w:hAnsi="Arial" w:hint="default"/>
      </w:rPr>
    </w:lvl>
    <w:lvl w:ilvl="5" w:tplc="D40EAC82" w:tentative="1">
      <w:start w:val="1"/>
      <w:numFmt w:val="bullet"/>
      <w:lvlText w:val="•"/>
      <w:lvlJc w:val="left"/>
      <w:pPr>
        <w:tabs>
          <w:tab w:val="num" w:pos="4320"/>
        </w:tabs>
        <w:ind w:left="4320" w:hanging="360"/>
      </w:pPr>
      <w:rPr>
        <w:rFonts w:ascii="Arial" w:hAnsi="Arial" w:hint="default"/>
      </w:rPr>
    </w:lvl>
    <w:lvl w:ilvl="6" w:tplc="A3209B2E" w:tentative="1">
      <w:start w:val="1"/>
      <w:numFmt w:val="bullet"/>
      <w:lvlText w:val="•"/>
      <w:lvlJc w:val="left"/>
      <w:pPr>
        <w:tabs>
          <w:tab w:val="num" w:pos="5040"/>
        </w:tabs>
        <w:ind w:left="5040" w:hanging="360"/>
      </w:pPr>
      <w:rPr>
        <w:rFonts w:ascii="Arial" w:hAnsi="Arial" w:hint="default"/>
      </w:rPr>
    </w:lvl>
    <w:lvl w:ilvl="7" w:tplc="E3D61EBA" w:tentative="1">
      <w:start w:val="1"/>
      <w:numFmt w:val="bullet"/>
      <w:lvlText w:val="•"/>
      <w:lvlJc w:val="left"/>
      <w:pPr>
        <w:tabs>
          <w:tab w:val="num" w:pos="5760"/>
        </w:tabs>
        <w:ind w:left="5760" w:hanging="360"/>
      </w:pPr>
      <w:rPr>
        <w:rFonts w:ascii="Arial" w:hAnsi="Arial" w:hint="default"/>
      </w:rPr>
    </w:lvl>
    <w:lvl w:ilvl="8" w:tplc="2C6454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95AC2"/>
    <w:multiLevelType w:val="hybridMultilevel"/>
    <w:tmpl w:val="42005F76"/>
    <w:lvl w:ilvl="0" w:tplc="B5D4FF72">
      <w:start w:val="1"/>
      <w:numFmt w:val="bullet"/>
      <w:lvlText w:val="•"/>
      <w:lvlJc w:val="left"/>
      <w:pPr>
        <w:tabs>
          <w:tab w:val="num" w:pos="720"/>
        </w:tabs>
        <w:ind w:left="720" w:hanging="360"/>
      </w:pPr>
      <w:rPr>
        <w:rFonts w:ascii="Arial" w:hAnsi="Arial" w:hint="default"/>
      </w:rPr>
    </w:lvl>
    <w:lvl w:ilvl="1" w:tplc="5E0C8688">
      <w:start w:val="875"/>
      <w:numFmt w:val="bullet"/>
      <w:lvlText w:val="◦"/>
      <w:lvlJc w:val="left"/>
      <w:pPr>
        <w:tabs>
          <w:tab w:val="num" w:pos="1440"/>
        </w:tabs>
        <w:ind w:left="1440" w:hanging="360"/>
      </w:pPr>
      <w:rPr>
        <w:rFonts w:ascii="Arial" w:hAnsi="Arial" w:hint="default"/>
      </w:rPr>
    </w:lvl>
    <w:lvl w:ilvl="2" w:tplc="70A88108">
      <w:start w:val="875"/>
      <w:numFmt w:val="bullet"/>
      <w:lvlText w:val="▪"/>
      <w:lvlJc w:val="left"/>
      <w:pPr>
        <w:tabs>
          <w:tab w:val="num" w:pos="2160"/>
        </w:tabs>
        <w:ind w:left="2160" w:hanging="360"/>
      </w:pPr>
      <w:rPr>
        <w:rFonts w:ascii="Arial" w:hAnsi="Arial" w:hint="default"/>
      </w:rPr>
    </w:lvl>
    <w:lvl w:ilvl="3" w:tplc="7388BF5E" w:tentative="1">
      <w:start w:val="1"/>
      <w:numFmt w:val="bullet"/>
      <w:lvlText w:val="•"/>
      <w:lvlJc w:val="left"/>
      <w:pPr>
        <w:tabs>
          <w:tab w:val="num" w:pos="2880"/>
        </w:tabs>
        <w:ind w:left="2880" w:hanging="360"/>
      </w:pPr>
      <w:rPr>
        <w:rFonts w:ascii="Arial" w:hAnsi="Arial" w:hint="default"/>
      </w:rPr>
    </w:lvl>
    <w:lvl w:ilvl="4" w:tplc="F6EAFA50" w:tentative="1">
      <w:start w:val="1"/>
      <w:numFmt w:val="bullet"/>
      <w:lvlText w:val="•"/>
      <w:lvlJc w:val="left"/>
      <w:pPr>
        <w:tabs>
          <w:tab w:val="num" w:pos="3600"/>
        </w:tabs>
        <w:ind w:left="3600" w:hanging="360"/>
      </w:pPr>
      <w:rPr>
        <w:rFonts w:ascii="Arial" w:hAnsi="Arial" w:hint="default"/>
      </w:rPr>
    </w:lvl>
    <w:lvl w:ilvl="5" w:tplc="8CA6213C" w:tentative="1">
      <w:start w:val="1"/>
      <w:numFmt w:val="bullet"/>
      <w:lvlText w:val="•"/>
      <w:lvlJc w:val="left"/>
      <w:pPr>
        <w:tabs>
          <w:tab w:val="num" w:pos="4320"/>
        </w:tabs>
        <w:ind w:left="4320" w:hanging="360"/>
      </w:pPr>
      <w:rPr>
        <w:rFonts w:ascii="Arial" w:hAnsi="Arial" w:hint="default"/>
      </w:rPr>
    </w:lvl>
    <w:lvl w:ilvl="6" w:tplc="5ED8F14A" w:tentative="1">
      <w:start w:val="1"/>
      <w:numFmt w:val="bullet"/>
      <w:lvlText w:val="•"/>
      <w:lvlJc w:val="left"/>
      <w:pPr>
        <w:tabs>
          <w:tab w:val="num" w:pos="5040"/>
        </w:tabs>
        <w:ind w:left="5040" w:hanging="360"/>
      </w:pPr>
      <w:rPr>
        <w:rFonts w:ascii="Arial" w:hAnsi="Arial" w:hint="default"/>
      </w:rPr>
    </w:lvl>
    <w:lvl w:ilvl="7" w:tplc="34642662" w:tentative="1">
      <w:start w:val="1"/>
      <w:numFmt w:val="bullet"/>
      <w:lvlText w:val="•"/>
      <w:lvlJc w:val="left"/>
      <w:pPr>
        <w:tabs>
          <w:tab w:val="num" w:pos="5760"/>
        </w:tabs>
        <w:ind w:left="5760" w:hanging="360"/>
      </w:pPr>
      <w:rPr>
        <w:rFonts w:ascii="Arial" w:hAnsi="Arial" w:hint="default"/>
      </w:rPr>
    </w:lvl>
    <w:lvl w:ilvl="8" w:tplc="C01C69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3"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2"/>
  </w:num>
  <w:num w:numId="5">
    <w:abstractNumId w:val="16"/>
  </w:num>
  <w:num w:numId="6">
    <w:abstractNumId w:val="0"/>
  </w:num>
  <w:num w:numId="7">
    <w:abstractNumId w:val="5"/>
  </w:num>
  <w:num w:numId="8">
    <w:abstractNumId w:val="6"/>
  </w:num>
  <w:num w:numId="9">
    <w:abstractNumId w:val="11"/>
  </w:num>
  <w:num w:numId="10">
    <w:abstractNumId w:val="15"/>
  </w:num>
  <w:num w:numId="11">
    <w:abstractNumId w:val="9"/>
  </w:num>
  <w:num w:numId="12">
    <w:abstractNumId w:val="14"/>
  </w:num>
  <w:num w:numId="13">
    <w:abstractNumId w:val="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10104D"/>
    <w:rsid w:val="00020773"/>
    <w:rsid w:val="00024526"/>
    <w:rsid w:val="000245D5"/>
    <w:rsid w:val="00024C90"/>
    <w:rsid w:val="00034F0E"/>
    <w:rsid w:val="00044327"/>
    <w:rsid w:val="00047CBA"/>
    <w:rsid w:val="00061F67"/>
    <w:rsid w:val="0006456A"/>
    <w:rsid w:val="00072D33"/>
    <w:rsid w:val="000863BC"/>
    <w:rsid w:val="000865A0"/>
    <w:rsid w:val="00087F6A"/>
    <w:rsid w:val="00094FD5"/>
    <w:rsid w:val="000A393E"/>
    <w:rsid w:val="000A4C28"/>
    <w:rsid w:val="000B1BB0"/>
    <w:rsid w:val="000C0B80"/>
    <w:rsid w:val="000E4699"/>
    <w:rsid w:val="0010104D"/>
    <w:rsid w:val="00103CEC"/>
    <w:rsid w:val="00110159"/>
    <w:rsid w:val="001104B5"/>
    <w:rsid w:val="00115A89"/>
    <w:rsid w:val="00123CDF"/>
    <w:rsid w:val="001262FC"/>
    <w:rsid w:val="00142E7D"/>
    <w:rsid w:val="001465EA"/>
    <w:rsid w:val="00155DBC"/>
    <w:rsid w:val="00175F71"/>
    <w:rsid w:val="001B6589"/>
    <w:rsid w:val="001C436F"/>
    <w:rsid w:val="001C4750"/>
    <w:rsid w:val="001D3D8E"/>
    <w:rsid w:val="001D4CCA"/>
    <w:rsid w:val="001E5914"/>
    <w:rsid w:val="00203C6C"/>
    <w:rsid w:val="002142AC"/>
    <w:rsid w:val="002165E0"/>
    <w:rsid w:val="002233F7"/>
    <w:rsid w:val="0022608E"/>
    <w:rsid w:val="00237676"/>
    <w:rsid w:val="00237B68"/>
    <w:rsid w:val="00245450"/>
    <w:rsid w:val="0024782A"/>
    <w:rsid w:val="00255DBC"/>
    <w:rsid w:val="002705BC"/>
    <w:rsid w:val="00294D84"/>
    <w:rsid w:val="00296113"/>
    <w:rsid w:val="002A4A6E"/>
    <w:rsid w:val="002A6381"/>
    <w:rsid w:val="002A774F"/>
    <w:rsid w:val="002C6654"/>
    <w:rsid w:val="002D0DDC"/>
    <w:rsid w:val="002D4060"/>
    <w:rsid w:val="002E1C81"/>
    <w:rsid w:val="002E4BD6"/>
    <w:rsid w:val="002E5040"/>
    <w:rsid w:val="0030442A"/>
    <w:rsid w:val="003343FE"/>
    <w:rsid w:val="0034113E"/>
    <w:rsid w:val="003518A0"/>
    <w:rsid w:val="0037416F"/>
    <w:rsid w:val="00377CA5"/>
    <w:rsid w:val="00380BEA"/>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A2D84"/>
    <w:rsid w:val="004D1B0F"/>
    <w:rsid w:val="004D6CFB"/>
    <w:rsid w:val="004E0716"/>
    <w:rsid w:val="004E3025"/>
    <w:rsid w:val="004F3058"/>
    <w:rsid w:val="00505B9C"/>
    <w:rsid w:val="00514AF5"/>
    <w:rsid w:val="005209DE"/>
    <w:rsid w:val="005238F6"/>
    <w:rsid w:val="00523E14"/>
    <w:rsid w:val="005254FC"/>
    <w:rsid w:val="00540643"/>
    <w:rsid w:val="005475F0"/>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92271"/>
    <w:rsid w:val="006A6477"/>
    <w:rsid w:val="006B598A"/>
    <w:rsid w:val="006C406B"/>
    <w:rsid w:val="006C660B"/>
    <w:rsid w:val="006E7EF0"/>
    <w:rsid w:val="006F34C6"/>
    <w:rsid w:val="00704C15"/>
    <w:rsid w:val="007055BE"/>
    <w:rsid w:val="007134A7"/>
    <w:rsid w:val="00717B14"/>
    <w:rsid w:val="007306DC"/>
    <w:rsid w:val="0076356E"/>
    <w:rsid w:val="007829A1"/>
    <w:rsid w:val="007B0AE1"/>
    <w:rsid w:val="007B7297"/>
    <w:rsid w:val="007C3D0E"/>
    <w:rsid w:val="007E4CF7"/>
    <w:rsid w:val="007F2580"/>
    <w:rsid w:val="00813E31"/>
    <w:rsid w:val="00831F28"/>
    <w:rsid w:val="0083682E"/>
    <w:rsid w:val="00844073"/>
    <w:rsid w:val="00845962"/>
    <w:rsid w:val="00846E60"/>
    <w:rsid w:val="00853D98"/>
    <w:rsid w:val="00875A85"/>
    <w:rsid w:val="00897EC4"/>
    <w:rsid w:val="008C0054"/>
    <w:rsid w:val="008E182B"/>
    <w:rsid w:val="008F0C41"/>
    <w:rsid w:val="00902945"/>
    <w:rsid w:val="00902DCD"/>
    <w:rsid w:val="00917917"/>
    <w:rsid w:val="0094037A"/>
    <w:rsid w:val="00945A3D"/>
    <w:rsid w:val="00960163"/>
    <w:rsid w:val="00962FB8"/>
    <w:rsid w:val="00963966"/>
    <w:rsid w:val="00966841"/>
    <w:rsid w:val="009743D0"/>
    <w:rsid w:val="00975BC4"/>
    <w:rsid w:val="00980374"/>
    <w:rsid w:val="009A7969"/>
    <w:rsid w:val="009C4CBA"/>
    <w:rsid w:val="009D37C7"/>
    <w:rsid w:val="009E5C42"/>
    <w:rsid w:val="00A021C2"/>
    <w:rsid w:val="00A02B63"/>
    <w:rsid w:val="00A10591"/>
    <w:rsid w:val="00A1251E"/>
    <w:rsid w:val="00A300D4"/>
    <w:rsid w:val="00A31ABD"/>
    <w:rsid w:val="00A5194C"/>
    <w:rsid w:val="00A55FCF"/>
    <w:rsid w:val="00A65432"/>
    <w:rsid w:val="00A73E6A"/>
    <w:rsid w:val="00A8559D"/>
    <w:rsid w:val="00AA34AC"/>
    <w:rsid w:val="00AB6BE6"/>
    <w:rsid w:val="00AC6804"/>
    <w:rsid w:val="00AD276C"/>
    <w:rsid w:val="00AE3E8B"/>
    <w:rsid w:val="00AF0E44"/>
    <w:rsid w:val="00AF1C47"/>
    <w:rsid w:val="00AF5DEA"/>
    <w:rsid w:val="00B13595"/>
    <w:rsid w:val="00B135B3"/>
    <w:rsid w:val="00B16A6C"/>
    <w:rsid w:val="00B254DE"/>
    <w:rsid w:val="00B42E42"/>
    <w:rsid w:val="00B43ABF"/>
    <w:rsid w:val="00B60989"/>
    <w:rsid w:val="00B65E59"/>
    <w:rsid w:val="00B77E98"/>
    <w:rsid w:val="00B834EF"/>
    <w:rsid w:val="00B8400C"/>
    <w:rsid w:val="00B86707"/>
    <w:rsid w:val="00BB2504"/>
    <w:rsid w:val="00BB6249"/>
    <w:rsid w:val="00BC1090"/>
    <w:rsid w:val="00BC1D2A"/>
    <w:rsid w:val="00BD6693"/>
    <w:rsid w:val="00BE49BD"/>
    <w:rsid w:val="00BF777A"/>
    <w:rsid w:val="00C063D3"/>
    <w:rsid w:val="00C34664"/>
    <w:rsid w:val="00C45D1E"/>
    <w:rsid w:val="00C64F0B"/>
    <w:rsid w:val="00C75A87"/>
    <w:rsid w:val="00C76553"/>
    <w:rsid w:val="00C87784"/>
    <w:rsid w:val="00C93454"/>
    <w:rsid w:val="00C97F63"/>
    <w:rsid w:val="00CB01C5"/>
    <w:rsid w:val="00CB3129"/>
    <w:rsid w:val="00CE57C0"/>
    <w:rsid w:val="00D06414"/>
    <w:rsid w:val="00D076CA"/>
    <w:rsid w:val="00D144A9"/>
    <w:rsid w:val="00D17626"/>
    <w:rsid w:val="00D36363"/>
    <w:rsid w:val="00D52B5F"/>
    <w:rsid w:val="00D5438D"/>
    <w:rsid w:val="00D71688"/>
    <w:rsid w:val="00D81390"/>
    <w:rsid w:val="00D82560"/>
    <w:rsid w:val="00D83ECC"/>
    <w:rsid w:val="00D978B8"/>
    <w:rsid w:val="00DA08BB"/>
    <w:rsid w:val="00DB524D"/>
    <w:rsid w:val="00DC599E"/>
    <w:rsid w:val="00DD2C9B"/>
    <w:rsid w:val="00DE33B2"/>
    <w:rsid w:val="00DF6869"/>
    <w:rsid w:val="00E10FF3"/>
    <w:rsid w:val="00E15E7B"/>
    <w:rsid w:val="00E16ED5"/>
    <w:rsid w:val="00E25057"/>
    <w:rsid w:val="00E27A8C"/>
    <w:rsid w:val="00E368A8"/>
    <w:rsid w:val="00E4087C"/>
    <w:rsid w:val="00E41393"/>
    <w:rsid w:val="00E47331"/>
    <w:rsid w:val="00E478E6"/>
    <w:rsid w:val="00E57DDD"/>
    <w:rsid w:val="00E62E5B"/>
    <w:rsid w:val="00E7146B"/>
    <w:rsid w:val="00E71A4C"/>
    <w:rsid w:val="00EA0EB5"/>
    <w:rsid w:val="00EA6D5C"/>
    <w:rsid w:val="00EB1E02"/>
    <w:rsid w:val="00EC41DB"/>
    <w:rsid w:val="00EC6178"/>
    <w:rsid w:val="00ED5C9D"/>
    <w:rsid w:val="00EE3FFD"/>
    <w:rsid w:val="00F1079F"/>
    <w:rsid w:val="00F23296"/>
    <w:rsid w:val="00F300C9"/>
    <w:rsid w:val="00F4216E"/>
    <w:rsid w:val="00F54149"/>
    <w:rsid w:val="00F56F0B"/>
    <w:rsid w:val="00F76C89"/>
    <w:rsid w:val="00F77A9F"/>
    <w:rsid w:val="00F96DDB"/>
    <w:rsid w:val="00FB7AEF"/>
    <w:rsid w:val="00FC0D2C"/>
    <w:rsid w:val="00FC20B1"/>
    <w:rsid w:val="00FC3741"/>
    <w:rsid w:val="00FE2A6C"/>
    <w:rsid w:val="00FF1053"/>
    <w:rsid w:val="00FF66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D3072F6"/>
  <w15:docId w15:val="{3A0E95B7-7916-49B4-BDF1-10D7FA7B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eastAsia="en-US" w:bidi="ar-SA"/>
    </w:rPr>
  </w:style>
  <w:style w:type="paragraph" w:styleId="Heading6">
    <w:name w:val="heading 6"/>
    <w:basedOn w:val="Normal"/>
    <w:next w:val="Normal"/>
    <w:link w:val="Heading6Char"/>
    <w:qFormat/>
    <w:rsid w:val="00FF1053"/>
    <w:pPr>
      <w:keepNext/>
      <w:suppressAutoHyphens w:val="0"/>
      <w:spacing w:after="0" w:line="240" w:lineRule="auto"/>
      <w:ind w:right="-341"/>
      <w:outlineLvl w:val="5"/>
    </w:pPr>
    <w:rPr>
      <w:rFonts w:ascii="Arial" w:eastAsia="Times New Roman" w:hAnsi="Arial" w:cs="Times New Roman"/>
      <w:kern w:val="0"/>
      <w:sz w:val="4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de-DE"/>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Heading6Char">
    <w:name w:val="Heading 6 Char"/>
    <w:basedOn w:val="DefaultParagraphFont"/>
    <w:link w:val="Heading6"/>
    <w:rsid w:val="00FF1053"/>
    <w:rPr>
      <w:rFonts w:ascii="Arial" w:eastAsia="Times New Roman" w:hAnsi="Arial"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02590053">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arnell.com/" TargetMode="External"/><Relationship Id="rId13" Type="http://schemas.openxmlformats.org/officeDocument/2006/relationships/hyperlink" Target="http://www.premierfarnell.com/" TargetMode="External"/><Relationship Id="rId18" Type="http://schemas.openxmlformats.org/officeDocument/2006/relationships/hyperlink" Target="mailto:freya@napierb2b.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e.farnell.com" TargetMode="External"/><Relationship Id="rId17" Type="http://schemas.openxmlformats.org/officeDocument/2006/relationships/hyperlink" Target="http://www.premierfarnell.com" TargetMode="External"/><Relationship Id="rId2" Type="http://schemas.openxmlformats.org/officeDocument/2006/relationships/numbering" Target="numbering.xml"/><Relationship Id="rId16" Type="http://schemas.openxmlformats.org/officeDocument/2006/relationships/hyperlink" Target="http://sg.element14.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ent14.com/news" TargetMode="External"/><Relationship Id="rId5" Type="http://schemas.openxmlformats.org/officeDocument/2006/relationships/webSettings" Target="webSettings.xml"/><Relationship Id="rId15" Type="http://schemas.openxmlformats.org/officeDocument/2006/relationships/hyperlink" Target="http://www.newark.com/" TargetMode="External"/><Relationship Id="rId23" Type="http://schemas.openxmlformats.org/officeDocument/2006/relationships/theme" Target="theme/theme1.xml"/><Relationship Id="rId10" Type="http://schemas.openxmlformats.org/officeDocument/2006/relationships/hyperlink" Target="http://de.farnell.com/tektronix-rsa-500-and-600" TargetMode="External"/><Relationship Id="rId19" Type="http://schemas.openxmlformats.org/officeDocument/2006/relationships/hyperlink" Target="mailto:hsmart@premierfarnell.com" TargetMode="External"/><Relationship Id="rId4" Type="http://schemas.openxmlformats.org/officeDocument/2006/relationships/settings" Target="settings.xml"/><Relationship Id="rId9" Type="http://schemas.openxmlformats.org/officeDocument/2006/relationships/hyperlink" Target="http://de.farnell.com/tektronix-rsa-500-and-600" TargetMode="External"/><Relationship Id="rId14" Type="http://schemas.openxmlformats.org/officeDocument/2006/relationships/hyperlink" Target="http://farnel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C86E-026C-43B6-83A3-D08944A1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freya</cp:lastModifiedBy>
  <cp:revision>16</cp:revision>
  <cp:lastPrinted>2016-07-13T14:25:00Z</cp:lastPrinted>
  <dcterms:created xsi:type="dcterms:W3CDTF">2017-06-20T13:08:00Z</dcterms:created>
  <dcterms:modified xsi:type="dcterms:W3CDTF">2017-06-27T13:57:00Z</dcterms:modified>
</cp:coreProperties>
</file>