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AD" w:rsidRPr="00E55FAD" w:rsidRDefault="00E55FAD" w:rsidP="001C2AFD">
      <w:pPr>
        <w:suppressAutoHyphens w:val="0"/>
        <w:spacing w:after="0" w:line="23" w:lineRule="atLeast"/>
        <w:ind w:right="-341"/>
        <w:jc w:val="center"/>
        <w:rPr>
          <w:rFonts w:ascii="Arial" w:eastAsia="Calibri" w:hAnsi="Arial" w:cs="Arial"/>
          <w:b/>
          <w:kern w:val="0"/>
          <w:sz w:val="26"/>
          <w:szCs w:val="26"/>
          <w:lang w:val="fr-FR" w:eastAsia="en-IN" w:bidi="ar-SA"/>
        </w:rPr>
      </w:pPr>
      <w:r>
        <w:rPr>
          <w:rFonts w:ascii="Arial" w:eastAsia="Arial" w:hAnsi="Arial" w:cs="Arial"/>
          <w:b/>
          <w:kern w:val="0"/>
          <w:sz w:val="26"/>
          <w:szCs w:val="26"/>
          <w:lang w:val="fr-FR" w:eastAsia="en-IN" w:bidi="ar-SA"/>
        </w:rPr>
        <w:t xml:space="preserve">Farnell </w:t>
      </w:r>
      <w:r w:rsidRPr="00E55FAD">
        <w:rPr>
          <w:rFonts w:ascii="Arial" w:eastAsia="Arial" w:hAnsi="Arial" w:cs="Arial"/>
          <w:b/>
          <w:kern w:val="0"/>
          <w:sz w:val="26"/>
          <w:szCs w:val="26"/>
          <w:lang w:val="fr-FR" w:eastAsia="en-IN" w:bidi="ar-SA"/>
        </w:rPr>
        <w:t xml:space="preserve">element14 lance le nouveau système d'acquisition de données DAQ970A de </w:t>
      </w:r>
      <w:proofErr w:type="spellStart"/>
      <w:r w:rsidRPr="00E55FAD">
        <w:rPr>
          <w:rFonts w:ascii="Arial" w:eastAsia="Arial" w:hAnsi="Arial" w:cs="Arial"/>
          <w:b/>
          <w:kern w:val="0"/>
          <w:sz w:val="26"/>
          <w:szCs w:val="26"/>
          <w:lang w:val="fr-FR" w:eastAsia="en-IN" w:bidi="ar-SA"/>
        </w:rPr>
        <w:t>Keysight</w:t>
      </w:r>
      <w:proofErr w:type="spellEnd"/>
    </w:p>
    <w:p w:rsidR="00E55FAD" w:rsidRPr="00E55FAD" w:rsidRDefault="00E55FAD" w:rsidP="001C2AFD">
      <w:pPr>
        <w:suppressAutoHyphens w:val="0"/>
        <w:spacing w:after="0" w:line="23" w:lineRule="atLeast"/>
        <w:ind w:right="-341"/>
        <w:rPr>
          <w:rFonts w:ascii="Arial" w:eastAsia="Calibri" w:hAnsi="Arial" w:cs="Arial"/>
          <w:b/>
          <w:kern w:val="0"/>
          <w:sz w:val="22"/>
          <w:szCs w:val="22"/>
          <w:lang w:val="fr-FR" w:eastAsia="en-IN" w:bidi="ar-SA"/>
        </w:rPr>
      </w:pPr>
    </w:p>
    <w:p w:rsidR="00E55FAD" w:rsidRPr="00E55FAD" w:rsidRDefault="003625F3" w:rsidP="001C2AFD">
      <w:pPr>
        <w:suppressAutoHyphens w:val="0"/>
        <w:spacing w:after="0" w:line="23" w:lineRule="atLeast"/>
        <w:ind w:right="-341"/>
        <w:rPr>
          <w:rFonts w:ascii="Arial" w:eastAsia="Calibri" w:hAnsi="Arial" w:cs="Arial"/>
          <w:kern w:val="0"/>
          <w:sz w:val="22"/>
          <w:szCs w:val="22"/>
          <w:lang w:val="fr-FR" w:eastAsia="en-IN" w:bidi="ar-SA"/>
        </w:rPr>
      </w:pPr>
      <w:r>
        <w:rPr>
          <w:rFonts w:ascii="Arial" w:eastAsia="Arial" w:hAnsi="Arial" w:cs="Arial"/>
          <w:b/>
          <w:kern w:val="0"/>
          <w:sz w:val="22"/>
          <w:szCs w:val="22"/>
          <w:lang w:val="fr-FR" w:eastAsia="en-IN" w:bidi="ar-SA"/>
        </w:rPr>
        <w:t>Leeds, Royaume-Uni, 21 janvier 2019</w:t>
      </w:r>
      <w:bookmarkStart w:id="0" w:name="_GoBack"/>
      <w:bookmarkEnd w:id="0"/>
      <w:r w:rsidR="00E55FAD" w:rsidRPr="00E55FAD">
        <w:rPr>
          <w:rFonts w:ascii="Arial" w:eastAsia="Arial" w:hAnsi="Arial" w:cs="Arial"/>
          <w:b/>
          <w:kern w:val="0"/>
          <w:sz w:val="22"/>
          <w:szCs w:val="22"/>
          <w:lang w:val="fr-FR" w:eastAsia="en-IN" w:bidi="ar-SA"/>
        </w:rPr>
        <w:t> </w:t>
      </w:r>
      <w:r w:rsidR="00E55FAD" w:rsidRPr="00E55FAD">
        <w:rPr>
          <w:rFonts w:ascii="Arial" w:eastAsia="Arial" w:hAnsi="Arial" w:cs="Arial"/>
          <w:kern w:val="0"/>
          <w:sz w:val="22"/>
          <w:szCs w:val="22"/>
          <w:lang w:val="fr-FR" w:eastAsia="en-IN" w:bidi="ar-SA"/>
        </w:rPr>
        <w:t>:</w:t>
      </w:r>
      <w:r w:rsidR="00E55FAD" w:rsidRPr="00E55FAD">
        <w:rPr>
          <w:rFonts w:ascii="Arial" w:eastAsia="Arial" w:hAnsi="Arial" w:cs="Arial"/>
          <w:b/>
          <w:kern w:val="0"/>
          <w:sz w:val="22"/>
          <w:szCs w:val="22"/>
          <w:lang w:val="fr-FR" w:eastAsia="en-IN" w:bidi="ar-SA"/>
        </w:rPr>
        <w:t xml:space="preserve"> </w:t>
      </w:r>
      <w:hyperlink r:id="rId7" w:history="1">
        <w:r w:rsidR="00E55FAD" w:rsidRPr="00E55FAD">
          <w:rPr>
            <w:rStyle w:val="Hyperlink"/>
            <w:rFonts w:ascii="Arial" w:eastAsia="Arial" w:hAnsi="Arial" w:cs="Arial"/>
            <w:kern w:val="0"/>
            <w:sz w:val="22"/>
            <w:szCs w:val="22"/>
            <w:lang w:val="fr-FR" w:eastAsia="en-IN" w:bidi="ar-SA"/>
          </w:rPr>
          <w:t>Farnell element14</w:t>
        </w:r>
      </w:hyperlink>
      <w:r w:rsidR="00E55FAD" w:rsidRPr="00E55FAD">
        <w:rPr>
          <w:rFonts w:ascii="Arial" w:eastAsia="Arial" w:hAnsi="Arial" w:cs="Arial"/>
          <w:kern w:val="0"/>
          <w:sz w:val="22"/>
          <w:szCs w:val="22"/>
          <w:lang w:val="fr-FR" w:eastAsia="en-IN" w:bidi="ar-SA"/>
        </w:rPr>
        <w:t xml:space="preserve">, le partenaire de vos développements, a annoncé le lancement du système d'acquisition de données DAQ970A de </w:t>
      </w:r>
      <w:proofErr w:type="spellStart"/>
      <w:r w:rsidR="00E55FAD" w:rsidRPr="00E55FAD">
        <w:rPr>
          <w:rFonts w:ascii="Arial" w:eastAsia="Arial" w:hAnsi="Arial" w:cs="Arial"/>
          <w:kern w:val="0"/>
          <w:sz w:val="22"/>
          <w:szCs w:val="22"/>
          <w:lang w:val="fr-FR" w:eastAsia="en-IN" w:bidi="ar-SA"/>
        </w:rPr>
        <w:t>Keysight</w:t>
      </w:r>
      <w:proofErr w:type="spellEnd"/>
      <w:r w:rsidR="00E55FAD" w:rsidRPr="00E55FAD">
        <w:rPr>
          <w:rFonts w:ascii="Arial" w:eastAsia="Arial" w:hAnsi="Arial" w:cs="Arial"/>
          <w:kern w:val="0"/>
          <w:sz w:val="22"/>
          <w:szCs w:val="22"/>
          <w:lang w:val="fr-FR" w:eastAsia="en-IN" w:bidi="ar-SA"/>
        </w:rPr>
        <w:t>, offrant aux ingénieurs un moyen plus efficace de caractériser pleinement leur produit et de déployer des solutions de test en seulement quelques jours.</w:t>
      </w:r>
    </w:p>
    <w:p w:rsidR="00E55FAD" w:rsidRPr="00E55FAD" w:rsidRDefault="00E55FAD" w:rsidP="001C2AFD">
      <w:pPr>
        <w:suppressAutoHyphens w:val="0"/>
        <w:spacing w:after="0" w:line="23" w:lineRule="atLeast"/>
        <w:ind w:right="-341"/>
        <w:rPr>
          <w:rFonts w:ascii="Arial" w:eastAsia="Calibri" w:hAnsi="Arial" w:cs="Arial"/>
          <w:kern w:val="0"/>
          <w:sz w:val="22"/>
          <w:szCs w:val="22"/>
          <w:lang w:val="fr-FR" w:eastAsia="en-IN" w:bidi="ar-SA"/>
        </w:rPr>
      </w:pPr>
    </w:p>
    <w:p w:rsidR="00E55FAD" w:rsidRPr="00E55FAD" w:rsidRDefault="00E55FAD" w:rsidP="001C2AFD">
      <w:pPr>
        <w:suppressAutoHyphens w:val="0"/>
        <w:spacing w:after="0" w:line="23" w:lineRule="atLeast"/>
        <w:ind w:right="-341"/>
        <w:rPr>
          <w:rFonts w:ascii="Arial" w:eastAsia="Calibri" w:hAnsi="Arial" w:cs="Arial"/>
          <w:kern w:val="0"/>
          <w:sz w:val="22"/>
          <w:szCs w:val="22"/>
          <w:lang w:val="fr-FR" w:eastAsia="en-IN" w:bidi="ar-SA"/>
        </w:rPr>
      </w:pPr>
      <w:r w:rsidRPr="00E55FAD">
        <w:rPr>
          <w:rFonts w:ascii="Arial" w:eastAsia="Arial" w:hAnsi="Arial" w:cs="Arial"/>
          <w:kern w:val="0"/>
          <w:sz w:val="22"/>
          <w:szCs w:val="22"/>
          <w:lang w:val="fr-FR" w:eastAsia="en-IN" w:bidi="ar-SA"/>
        </w:rPr>
        <w:t>Le produit, conçu pour les ingénieurs en R&amp;D spécialisés dans la vérification des conceptions et leur fabrication, ouvre la voie vers des conceptions fiables dont les mesures ne sont pas remises en question et pour lesquelles il est inutile de connaître et d'utiliser des langages de programmation complexes ou d'embaucher de nouveaux ingénieurs logiciels. Il est également utile à ceux qui travaillent dans les domaines de l'électronique générale, de l'aérospatiale, de l'automobile et de l'énergie.</w:t>
      </w:r>
    </w:p>
    <w:p w:rsidR="00E55FAD" w:rsidRPr="00E55FAD" w:rsidRDefault="00E55FAD" w:rsidP="001C2AFD">
      <w:pPr>
        <w:suppressAutoHyphens w:val="0"/>
        <w:spacing w:after="0" w:line="23" w:lineRule="atLeast"/>
        <w:ind w:right="-341"/>
        <w:rPr>
          <w:rFonts w:ascii="Arial" w:eastAsia="Calibri" w:hAnsi="Arial" w:cs="Arial"/>
          <w:kern w:val="0"/>
          <w:sz w:val="22"/>
          <w:szCs w:val="22"/>
          <w:lang w:val="fr-FR" w:eastAsia="en-IN" w:bidi="ar-SA"/>
        </w:rPr>
      </w:pPr>
    </w:p>
    <w:p w:rsidR="00E55FAD" w:rsidRPr="00E55FAD" w:rsidRDefault="00E55FAD" w:rsidP="001C2AFD">
      <w:pPr>
        <w:suppressAutoHyphens w:val="0"/>
        <w:spacing w:after="0" w:line="23" w:lineRule="atLeast"/>
        <w:rPr>
          <w:rFonts w:ascii="Arial" w:eastAsia="Calibri" w:hAnsi="Arial" w:cs="Arial"/>
          <w:kern w:val="0"/>
          <w:sz w:val="22"/>
          <w:szCs w:val="22"/>
          <w:lang w:val="fr-FR" w:eastAsia="en-IN" w:bidi="ar-SA"/>
        </w:rPr>
      </w:pPr>
      <w:r w:rsidRPr="00E55FAD">
        <w:rPr>
          <w:rFonts w:ascii="Arial" w:eastAsia="Arial" w:hAnsi="Arial" w:cs="Arial"/>
          <w:kern w:val="0"/>
          <w:sz w:val="22"/>
          <w:szCs w:val="22"/>
          <w:lang w:val="fr-FR" w:eastAsia="en-IN" w:bidi="ar-SA"/>
        </w:rPr>
        <w:t>Le système d'acquisition de données DAQ970A dispose d'un commutateur de haute qualité et d'un multimètre numérique 6,5 digits intégré qui vous permet de réaliser des mesures précises. De plus, son écran LCD intuitif et ses touches programmables permettent une configuration aisée et un affichage des mesures dans plusieurs formats (nombre, baromètre, graphique de tendance, histogramme), facilitant ainsi la configuration et l'utilisation sans programmation.</w:t>
      </w:r>
    </w:p>
    <w:p w:rsidR="00E55FAD" w:rsidRPr="00E55FAD" w:rsidRDefault="00E55FAD" w:rsidP="001C2AFD">
      <w:pPr>
        <w:suppressAutoHyphens w:val="0"/>
        <w:spacing w:after="0" w:line="23" w:lineRule="atLeast"/>
        <w:rPr>
          <w:rFonts w:ascii="Arial" w:eastAsia="Calibri" w:hAnsi="Arial" w:cs="Arial"/>
          <w:kern w:val="0"/>
          <w:sz w:val="22"/>
          <w:szCs w:val="22"/>
          <w:lang w:val="fr-FR" w:eastAsia="en-IN" w:bidi="ar-SA"/>
        </w:rPr>
      </w:pPr>
    </w:p>
    <w:p w:rsidR="00E55FAD" w:rsidRPr="00E55FAD" w:rsidRDefault="00E55FAD" w:rsidP="001C2AFD">
      <w:pPr>
        <w:suppressAutoHyphens w:val="0"/>
        <w:spacing w:after="0" w:line="23" w:lineRule="atLeast"/>
        <w:rPr>
          <w:rFonts w:ascii="Arial" w:eastAsia="Calibri" w:hAnsi="Arial" w:cs="Arial"/>
          <w:kern w:val="0"/>
          <w:sz w:val="22"/>
          <w:szCs w:val="22"/>
          <w:lang w:val="fr-FR" w:eastAsia="en-IN" w:bidi="ar-SA"/>
        </w:rPr>
      </w:pPr>
      <w:r w:rsidRPr="00E55FAD">
        <w:rPr>
          <w:rFonts w:ascii="Arial" w:eastAsia="Arial" w:hAnsi="Arial" w:cs="Arial"/>
          <w:kern w:val="0"/>
          <w:sz w:val="22"/>
          <w:szCs w:val="22"/>
          <w:lang w:val="fr-FR" w:eastAsia="en-IN" w:bidi="ar-SA"/>
        </w:rPr>
        <w:t>Principales fonctions :</w:t>
      </w:r>
    </w:p>
    <w:p w:rsidR="00E55FAD" w:rsidRPr="00E55FAD" w:rsidRDefault="00E55FAD" w:rsidP="001C2AFD">
      <w:pPr>
        <w:suppressAutoHyphens w:val="0"/>
        <w:spacing w:after="0" w:line="23" w:lineRule="atLeast"/>
        <w:contextualSpacing/>
        <w:rPr>
          <w:rFonts w:ascii="Arial" w:eastAsia="Arial" w:hAnsi="Arial" w:cs="Arial"/>
          <w:kern w:val="0"/>
          <w:sz w:val="22"/>
          <w:szCs w:val="22"/>
          <w:lang w:val="fr-FR" w:eastAsia="en-IN" w:bidi="ar-SA"/>
        </w:rPr>
      </w:pPr>
    </w:p>
    <w:p w:rsidR="00E55FAD" w:rsidRPr="00E55FAD" w:rsidRDefault="00E55FAD" w:rsidP="001C2AFD">
      <w:pPr>
        <w:numPr>
          <w:ilvl w:val="0"/>
          <w:numId w:val="1"/>
        </w:numPr>
        <w:suppressAutoHyphens w:val="0"/>
        <w:autoSpaceDE w:val="0"/>
        <w:autoSpaceDN w:val="0"/>
        <w:adjustRightInd w:val="0"/>
        <w:spacing w:after="0" w:line="23" w:lineRule="atLeast"/>
        <w:contextualSpacing/>
        <w:rPr>
          <w:rFonts w:ascii="Arial" w:eastAsia="MS Mincho" w:hAnsi="Arial" w:cs="Arial"/>
          <w:kern w:val="0"/>
          <w:sz w:val="22"/>
          <w:szCs w:val="22"/>
          <w:lang w:val="fr-FR" w:eastAsia="en-GB" w:bidi="ar-SA"/>
        </w:rPr>
      </w:pPr>
      <w:r w:rsidRPr="00E55FAD">
        <w:rPr>
          <w:rFonts w:ascii="Arial" w:eastAsia="MS Mincho" w:hAnsi="Arial" w:cs="Keysight Sans Light"/>
          <w:kern w:val="0"/>
          <w:sz w:val="22"/>
          <w:szCs w:val="22"/>
          <w:lang w:val="fr-FR" w:eastAsia="en-GB" w:bidi="ar-SA"/>
        </w:rPr>
        <w:t>Unité d'acquisition de données et de commutation DAQ970A (3 fentes, jusqu'à 60 canaux 2 fils, 120 canaux 1 fil)</w:t>
      </w:r>
    </w:p>
    <w:p w:rsidR="00E55FAD" w:rsidRPr="00E55FAD" w:rsidRDefault="00E55FAD" w:rsidP="001C2AFD">
      <w:pPr>
        <w:numPr>
          <w:ilvl w:val="0"/>
          <w:numId w:val="1"/>
        </w:numPr>
        <w:suppressAutoHyphens w:val="0"/>
        <w:spacing w:after="0" w:line="23" w:lineRule="atLeast"/>
        <w:contextualSpacing/>
        <w:rPr>
          <w:rFonts w:ascii="Arial" w:eastAsia="Calibri" w:hAnsi="Arial" w:cs="Arial"/>
          <w:kern w:val="0"/>
          <w:sz w:val="22"/>
          <w:szCs w:val="22"/>
          <w:lang w:val="fr-FR" w:eastAsia="en-US" w:bidi="ar-SA"/>
        </w:rPr>
      </w:pPr>
      <w:r w:rsidRPr="00E55FAD">
        <w:rPr>
          <w:rFonts w:ascii="Arial" w:eastAsia="Calibri" w:hAnsi="Arial" w:cs="Calibri"/>
          <w:kern w:val="0"/>
          <w:sz w:val="22"/>
          <w:szCs w:val="22"/>
          <w:lang w:val="fr-FR" w:eastAsia="en-US" w:bidi="ar-SA"/>
        </w:rPr>
        <w:t>Capacité à mesurer des plages de courant très faibles (1 </w:t>
      </w:r>
      <w:proofErr w:type="spellStart"/>
      <w:r w:rsidRPr="00E55FAD">
        <w:rPr>
          <w:rFonts w:ascii="Arial" w:eastAsia="Calibri" w:hAnsi="Arial" w:cs="Calibri"/>
          <w:kern w:val="0"/>
          <w:sz w:val="22"/>
          <w:szCs w:val="22"/>
          <w:lang w:val="fr-FR" w:eastAsia="en-US" w:bidi="ar-SA"/>
        </w:rPr>
        <w:t>μA</w:t>
      </w:r>
      <w:proofErr w:type="spellEnd"/>
      <w:r w:rsidRPr="00E55FAD">
        <w:rPr>
          <w:rFonts w:ascii="Arial" w:eastAsia="Calibri" w:hAnsi="Arial" w:cs="Calibri"/>
          <w:kern w:val="0"/>
          <w:sz w:val="22"/>
          <w:szCs w:val="22"/>
          <w:lang w:val="fr-FR" w:eastAsia="en-US" w:bidi="ar-SA"/>
        </w:rPr>
        <w:t xml:space="preserve"> DC et 100 </w:t>
      </w:r>
      <w:proofErr w:type="spellStart"/>
      <w:r w:rsidRPr="00E55FAD">
        <w:rPr>
          <w:rFonts w:ascii="Arial" w:eastAsia="Calibri" w:hAnsi="Arial" w:cs="Calibri"/>
          <w:kern w:val="0"/>
          <w:sz w:val="22"/>
          <w:szCs w:val="22"/>
          <w:lang w:val="fr-FR" w:eastAsia="en-US" w:bidi="ar-SA"/>
        </w:rPr>
        <w:t>μA</w:t>
      </w:r>
      <w:proofErr w:type="spellEnd"/>
      <w:r w:rsidRPr="00E55FAD">
        <w:rPr>
          <w:rFonts w:ascii="Arial" w:eastAsia="Calibri" w:hAnsi="Arial" w:cs="Calibri"/>
          <w:kern w:val="0"/>
          <w:sz w:val="22"/>
          <w:szCs w:val="22"/>
          <w:lang w:val="fr-FR" w:eastAsia="en-US" w:bidi="ar-SA"/>
        </w:rPr>
        <w:t xml:space="preserve"> AC) et une plage de résistance plus élevée (1 000 MΩ)</w:t>
      </w:r>
    </w:p>
    <w:p w:rsidR="00E55FAD" w:rsidRPr="00E55FAD" w:rsidRDefault="00E55FAD" w:rsidP="001C2AFD">
      <w:pPr>
        <w:numPr>
          <w:ilvl w:val="0"/>
          <w:numId w:val="1"/>
        </w:numPr>
        <w:suppressAutoHyphens w:val="0"/>
        <w:spacing w:after="0" w:line="23" w:lineRule="atLeast"/>
        <w:contextualSpacing/>
        <w:rPr>
          <w:rFonts w:ascii="Arial" w:eastAsia="Calibri" w:hAnsi="Arial" w:cs="Arial"/>
          <w:kern w:val="0"/>
          <w:sz w:val="22"/>
          <w:szCs w:val="22"/>
          <w:lang w:val="fr-FR" w:eastAsia="en-US" w:bidi="ar-SA"/>
        </w:rPr>
      </w:pPr>
      <w:r w:rsidRPr="00E55FAD">
        <w:rPr>
          <w:rFonts w:ascii="Arial" w:eastAsia="Calibri" w:hAnsi="Arial" w:cs="Calibri"/>
          <w:kern w:val="0"/>
          <w:sz w:val="22"/>
          <w:szCs w:val="22"/>
          <w:lang w:val="fr-FR" w:eastAsia="en-US" w:bidi="ar-SA"/>
        </w:rPr>
        <w:t>Nouvel étalonnage automatique qui compense les dérives internes causées par les variations de temps et de température</w:t>
      </w:r>
    </w:p>
    <w:p w:rsidR="00E55FAD" w:rsidRPr="00E55FAD" w:rsidRDefault="00E55FAD" w:rsidP="001C2AFD">
      <w:pPr>
        <w:numPr>
          <w:ilvl w:val="0"/>
          <w:numId w:val="1"/>
        </w:numPr>
        <w:suppressAutoHyphens w:val="0"/>
        <w:spacing w:after="0" w:line="23" w:lineRule="atLeast"/>
        <w:contextualSpacing/>
        <w:rPr>
          <w:rFonts w:ascii="Arial" w:eastAsia="Calibri" w:hAnsi="Arial" w:cs="Arial"/>
          <w:kern w:val="0"/>
          <w:sz w:val="22"/>
          <w:szCs w:val="22"/>
          <w:lang w:val="fr-FR" w:eastAsia="en-US" w:bidi="ar-SA"/>
        </w:rPr>
      </w:pPr>
      <w:r w:rsidRPr="00E55FAD">
        <w:rPr>
          <w:rFonts w:ascii="Arial" w:eastAsia="Calibri" w:hAnsi="Arial" w:cs="Calibri"/>
          <w:kern w:val="0"/>
          <w:sz w:val="22"/>
          <w:szCs w:val="22"/>
          <w:lang w:val="fr-FR" w:eastAsia="en-US" w:bidi="ar-SA"/>
        </w:rPr>
        <w:t>Compatible 3497XA, programme et configuration</w:t>
      </w:r>
    </w:p>
    <w:p w:rsidR="00E55FAD" w:rsidRPr="00E55FAD" w:rsidRDefault="00E55FAD" w:rsidP="001C2AFD">
      <w:pPr>
        <w:numPr>
          <w:ilvl w:val="0"/>
          <w:numId w:val="1"/>
        </w:numPr>
        <w:suppressAutoHyphens w:val="0"/>
        <w:spacing w:after="0" w:line="23" w:lineRule="atLeast"/>
        <w:contextualSpacing/>
        <w:rPr>
          <w:rFonts w:ascii="Arial" w:eastAsia="Calibri" w:hAnsi="Arial" w:cs="Arial"/>
          <w:kern w:val="0"/>
          <w:sz w:val="22"/>
          <w:szCs w:val="22"/>
          <w:lang w:val="fr-FR" w:eastAsia="en-US" w:bidi="ar-SA"/>
        </w:rPr>
      </w:pPr>
      <w:r w:rsidRPr="00E55FAD">
        <w:rPr>
          <w:rFonts w:ascii="Arial" w:eastAsia="Calibri" w:hAnsi="Arial" w:cs="Calibri"/>
          <w:kern w:val="0"/>
          <w:sz w:val="22"/>
          <w:szCs w:val="22"/>
          <w:lang w:val="fr-FR" w:eastAsia="en-US" w:bidi="ar-SA"/>
        </w:rPr>
        <w:t>NOUVEAU multiplexeur à semi-conducteurs DAQM900A avec vitesse de balayage jusqu'à 450 canaux/s</w:t>
      </w:r>
    </w:p>
    <w:p w:rsidR="00E55FAD" w:rsidRPr="00E55FAD" w:rsidRDefault="00E55FAD" w:rsidP="001C2AFD">
      <w:pPr>
        <w:numPr>
          <w:ilvl w:val="0"/>
          <w:numId w:val="1"/>
        </w:numPr>
        <w:suppressAutoHyphens w:val="0"/>
        <w:spacing w:after="0" w:line="23" w:lineRule="atLeast"/>
        <w:contextualSpacing/>
        <w:rPr>
          <w:rFonts w:ascii="Arial" w:eastAsia="Calibri" w:hAnsi="Arial" w:cs="Arial"/>
          <w:color w:val="000000"/>
          <w:kern w:val="0"/>
          <w:sz w:val="22"/>
          <w:szCs w:val="22"/>
          <w:lang w:val="fr-FR" w:eastAsia="en-US" w:bidi="ar-SA"/>
        </w:rPr>
      </w:pPr>
      <w:r w:rsidRPr="00E55FAD">
        <w:rPr>
          <w:rFonts w:ascii="Arial" w:eastAsia="Calibri" w:hAnsi="Arial" w:cs="Keysight Sans Light"/>
          <w:color w:val="000000"/>
          <w:kern w:val="0"/>
          <w:sz w:val="22"/>
          <w:szCs w:val="22"/>
          <w:lang w:val="fr-FR" w:eastAsia="en-US" w:bidi="ar-SA"/>
        </w:rPr>
        <w:t>Écran LCD intuitif et touches programmables pour une configuration aisée et un affichage des mesures dans plusieurs formats (nombre, baromètre, graphique de tendance, histogramme)</w:t>
      </w:r>
    </w:p>
    <w:p w:rsidR="00E55FAD" w:rsidRPr="00E55FAD" w:rsidRDefault="00E55FAD" w:rsidP="001C2AFD">
      <w:pPr>
        <w:numPr>
          <w:ilvl w:val="0"/>
          <w:numId w:val="1"/>
        </w:numPr>
        <w:suppressAutoHyphens w:val="0"/>
        <w:spacing w:after="0" w:line="23" w:lineRule="atLeast"/>
        <w:contextualSpacing/>
        <w:rPr>
          <w:rFonts w:ascii="Arial" w:eastAsia="Calibri" w:hAnsi="Arial" w:cs="Arial"/>
          <w:kern w:val="0"/>
          <w:sz w:val="22"/>
          <w:szCs w:val="22"/>
          <w:lang w:val="fr-FR" w:eastAsia="en-US" w:bidi="ar-SA"/>
        </w:rPr>
      </w:pPr>
      <w:r w:rsidRPr="00E55FAD">
        <w:rPr>
          <w:rFonts w:ascii="Arial" w:eastAsia="Calibri" w:hAnsi="Arial" w:cs="Keysight Sans Light"/>
          <w:color w:val="000000"/>
          <w:kern w:val="0"/>
          <w:sz w:val="22"/>
          <w:szCs w:val="22"/>
          <w:lang w:val="fr-FR" w:eastAsia="en-US" w:bidi="ar-SA"/>
        </w:rPr>
        <w:t>Enregistrement de données USB et mise en miroir des données à l'aide du port hôte USB du panneau avant</w:t>
      </w:r>
    </w:p>
    <w:p w:rsidR="00E55FAD" w:rsidRPr="00E55FAD" w:rsidRDefault="00E55FAD" w:rsidP="001C2AFD">
      <w:pPr>
        <w:suppressAutoHyphens w:val="0"/>
        <w:spacing w:after="0" w:line="23" w:lineRule="atLeast"/>
        <w:rPr>
          <w:rFonts w:ascii="Arial" w:eastAsia="Calibri" w:hAnsi="Arial" w:cs="Arial"/>
          <w:kern w:val="0"/>
          <w:sz w:val="22"/>
          <w:szCs w:val="22"/>
          <w:lang w:val="fr-FR" w:eastAsia="en-IN" w:bidi="ar-SA"/>
        </w:rPr>
      </w:pPr>
    </w:p>
    <w:p w:rsidR="00E55FAD" w:rsidRPr="00E55FAD" w:rsidRDefault="00E55FAD" w:rsidP="001C2AFD">
      <w:pPr>
        <w:suppressAutoHyphens w:val="0"/>
        <w:spacing w:after="0" w:line="23" w:lineRule="atLeast"/>
        <w:rPr>
          <w:rFonts w:ascii="Arial" w:eastAsia="Calibri" w:hAnsi="Arial" w:cs="Arial"/>
          <w:kern w:val="0"/>
          <w:sz w:val="22"/>
          <w:szCs w:val="22"/>
          <w:lang w:val="fr-FR" w:eastAsia="en-IN" w:bidi="ar-SA"/>
        </w:rPr>
      </w:pPr>
      <w:r w:rsidRPr="00E55FAD">
        <w:rPr>
          <w:rFonts w:ascii="Arial" w:eastAsia="Arial" w:hAnsi="Arial" w:cs="Arial"/>
          <w:kern w:val="0"/>
          <w:sz w:val="22"/>
          <w:szCs w:val="22"/>
          <w:lang w:val="fr-FR" w:eastAsia="en-IN" w:bidi="ar-SA"/>
        </w:rPr>
        <w:t xml:space="preserve">Le </w:t>
      </w:r>
      <w:hyperlink r:id="rId8" w:history="1">
        <w:r w:rsidRPr="0069582C">
          <w:rPr>
            <w:rStyle w:val="Hyperlink"/>
            <w:rFonts w:ascii="Arial" w:eastAsia="Arial" w:hAnsi="Arial" w:cs="Arial"/>
            <w:kern w:val="0"/>
            <w:sz w:val="22"/>
            <w:szCs w:val="22"/>
            <w:lang w:val="fr-FR" w:eastAsia="en-IN" w:bidi="ar-SA"/>
          </w:rPr>
          <w:t xml:space="preserve">DAQ970A de </w:t>
        </w:r>
        <w:proofErr w:type="spellStart"/>
        <w:r w:rsidRPr="0069582C">
          <w:rPr>
            <w:rStyle w:val="Hyperlink"/>
            <w:rFonts w:ascii="Arial" w:eastAsia="Arial" w:hAnsi="Arial" w:cs="Arial"/>
            <w:kern w:val="0"/>
            <w:sz w:val="22"/>
            <w:szCs w:val="22"/>
            <w:lang w:val="fr-FR" w:eastAsia="en-IN" w:bidi="ar-SA"/>
          </w:rPr>
          <w:t>Keysight</w:t>
        </w:r>
        <w:proofErr w:type="spellEnd"/>
      </w:hyperlink>
      <w:r w:rsidRPr="00E55FAD">
        <w:rPr>
          <w:rFonts w:ascii="Arial" w:eastAsia="Arial" w:hAnsi="Arial" w:cs="Arial"/>
          <w:kern w:val="0"/>
          <w:sz w:val="22"/>
          <w:szCs w:val="22"/>
          <w:lang w:val="fr-FR" w:eastAsia="en-IN" w:bidi="ar-SA"/>
        </w:rPr>
        <w:t xml:space="preserve"> est disponible à la vente auprès de Farnell element14 en Europe, de Newark element14 en Amérique du Nord et d'element14 en Asie-Pacifique.</w:t>
      </w:r>
    </w:p>
    <w:p w:rsidR="00E55FAD" w:rsidRPr="007843EC" w:rsidRDefault="00E55FAD" w:rsidP="00E55FAD">
      <w:pPr>
        <w:suppressAutoHyphens w:val="0"/>
        <w:spacing w:after="0" w:line="23" w:lineRule="atLeast"/>
        <w:jc w:val="center"/>
        <w:rPr>
          <w:rFonts w:ascii="Arial" w:eastAsia="Calibri" w:hAnsi="Arial" w:cs="Arial"/>
          <w:b/>
          <w:color w:val="000000"/>
          <w:kern w:val="0"/>
          <w:lang w:val="fr-FR" w:eastAsia="en-US" w:bidi="ar-SA"/>
        </w:rPr>
      </w:pPr>
    </w:p>
    <w:p w:rsidR="00E55FAD" w:rsidRPr="008E5FA3" w:rsidRDefault="00E55FAD" w:rsidP="00E55FAD">
      <w:pPr>
        <w:suppressAutoHyphens w:val="0"/>
        <w:spacing w:after="0" w:line="23" w:lineRule="atLeast"/>
        <w:jc w:val="center"/>
        <w:rPr>
          <w:rFonts w:ascii="Arial" w:eastAsia="Calibri" w:hAnsi="Arial" w:cs="Arial"/>
          <w:b/>
          <w:color w:val="000000"/>
          <w:kern w:val="0"/>
          <w:lang w:val="fr-FR" w:eastAsia="en-US" w:bidi="ar-SA"/>
        </w:rPr>
      </w:pPr>
      <w:r>
        <w:rPr>
          <w:rFonts w:ascii="Arial" w:eastAsia="Calibri" w:hAnsi="Arial" w:cs="Arial"/>
          <w:b/>
          <w:color w:val="000000"/>
          <w:kern w:val="0"/>
          <w:lang w:val="fr-FR" w:eastAsia="en-US" w:bidi="ar-SA"/>
        </w:rPr>
        <w:t>**</w:t>
      </w:r>
      <w:r w:rsidRPr="008E5FA3">
        <w:rPr>
          <w:rFonts w:ascii="Arial" w:eastAsia="Calibri" w:hAnsi="Arial" w:cs="Arial"/>
          <w:b/>
          <w:color w:val="000000"/>
          <w:kern w:val="0"/>
          <w:lang w:val="fr-FR" w:eastAsia="en-US" w:bidi="ar-SA"/>
        </w:rPr>
        <w:t>Fin**</w:t>
      </w:r>
    </w:p>
    <w:p w:rsidR="00E55FAD" w:rsidRPr="008E5FA3" w:rsidRDefault="00E55FAD" w:rsidP="00E55FAD">
      <w:pPr>
        <w:suppressAutoHyphens w:val="0"/>
        <w:spacing w:after="0" w:line="23" w:lineRule="atLeast"/>
        <w:jc w:val="center"/>
        <w:rPr>
          <w:rFonts w:ascii="Arial" w:eastAsia="Calibri" w:hAnsi="Arial" w:cs="Arial"/>
          <w:b/>
          <w:color w:val="000000"/>
          <w:kern w:val="0"/>
          <w:lang w:val="fr-FR" w:eastAsia="en-US" w:bidi="ar-SA"/>
        </w:rPr>
      </w:pPr>
    </w:p>
    <w:p w:rsidR="00E55FAD" w:rsidRDefault="00E55FAD" w:rsidP="00E55FAD">
      <w:pPr>
        <w:spacing w:after="0" w:line="240" w:lineRule="auto"/>
        <w:rPr>
          <w:rFonts w:ascii="Arial" w:hAnsi="Arial" w:cs="Arial"/>
          <w:b/>
          <w:u w:val="single"/>
          <w:lang w:val="fr-FR"/>
        </w:rPr>
      </w:pPr>
    </w:p>
    <w:p w:rsidR="00E55FAD" w:rsidRPr="00E55FAD" w:rsidRDefault="00E55FAD" w:rsidP="00E55FAD">
      <w:pPr>
        <w:spacing w:after="0" w:line="240" w:lineRule="auto"/>
        <w:rPr>
          <w:rFonts w:ascii="Arial" w:hAnsi="Arial" w:cs="Arial"/>
          <w:b/>
          <w:sz w:val="22"/>
          <w:u w:val="single"/>
          <w:lang w:val="fr-FR"/>
        </w:rPr>
      </w:pPr>
      <w:r w:rsidRPr="00E55FAD">
        <w:rPr>
          <w:rFonts w:ascii="Arial" w:hAnsi="Arial" w:cs="Arial"/>
          <w:b/>
          <w:sz w:val="22"/>
          <w:u w:val="single"/>
          <w:lang w:val="fr-FR"/>
        </w:rPr>
        <w:t>Notes aux éditeurs</w:t>
      </w:r>
    </w:p>
    <w:p w:rsidR="00E55FAD" w:rsidRPr="00E55FAD" w:rsidRDefault="00E55FAD" w:rsidP="00E55FAD">
      <w:pPr>
        <w:spacing w:after="0" w:line="240" w:lineRule="auto"/>
        <w:rPr>
          <w:rFonts w:ascii="Arial" w:hAnsi="Arial" w:cs="Arial"/>
          <w:b/>
          <w:sz w:val="22"/>
          <w:lang w:val="fr-FR"/>
        </w:rPr>
      </w:pPr>
    </w:p>
    <w:p w:rsidR="00E55FAD" w:rsidRPr="00E55FAD" w:rsidRDefault="00E55FAD" w:rsidP="00E55FAD">
      <w:pPr>
        <w:spacing w:after="0" w:line="240" w:lineRule="auto"/>
        <w:rPr>
          <w:rFonts w:ascii="Arial" w:hAnsi="Arial" w:cs="Arial"/>
          <w:sz w:val="22"/>
          <w:lang w:val="fr-FR"/>
        </w:rPr>
      </w:pPr>
      <w:r w:rsidRPr="00E55FAD">
        <w:rPr>
          <w:rFonts w:ascii="Arial" w:hAnsi="Arial" w:cs="Arial"/>
          <w:sz w:val="22"/>
          <w:lang w:val="fr-FR"/>
        </w:rPr>
        <w:t xml:space="preserve">Pour plus de détails et illustrations en lien avec ce communiqué de presse, rendez-vous sur notre page : </w:t>
      </w:r>
      <w:hyperlink r:id="rId9" w:history="1">
        <w:r w:rsidRPr="00E55FAD">
          <w:rPr>
            <w:rStyle w:val="Hyperlink"/>
            <w:rFonts w:ascii="Arial" w:hAnsi="Arial" w:cs="Arial"/>
            <w:color w:val="0563C1"/>
            <w:sz w:val="22"/>
            <w:lang w:val="fr-FR"/>
          </w:rPr>
          <w:t>www.element14.com/news</w:t>
        </w:r>
      </w:hyperlink>
    </w:p>
    <w:p w:rsidR="00E55FAD" w:rsidRPr="00E55FAD" w:rsidRDefault="00E55FAD" w:rsidP="00E55FAD">
      <w:pPr>
        <w:spacing w:after="0" w:line="240" w:lineRule="auto"/>
        <w:rPr>
          <w:rFonts w:ascii="Arial" w:hAnsi="Arial" w:cs="Arial"/>
          <w:b/>
          <w:bCs/>
          <w:sz w:val="22"/>
          <w:u w:val="single"/>
          <w:lang w:val="fr-FR"/>
        </w:rPr>
      </w:pPr>
    </w:p>
    <w:p w:rsidR="00E55FAD" w:rsidRPr="00E55FAD" w:rsidRDefault="00E55FAD" w:rsidP="00E55FAD">
      <w:pPr>
        <w:spacing w:after="0" w:line="240" w:lineRule="auto"/>
        <w:rPr>
          <w:rFonts w:ascii="Arial" w:hAnsi="Arial" w:cs="Arial"/>
          <w:b/>
          <w:bCs/>
          <w:sz w:val="22"/>
          <w:lang w:val="fr-FR"/>
        </w:rPr>
      </w:pPr>
      <w:r w:rsidRPr="00E55FAD">
        <w:rPr>
          <w:rFonts w:ascii="Arial" w:hAnsi="Arial" w:cs="Arial"/>
          <w:b/>
          <w:bCs/>
          <w:sz w:val="22"/>
          <w:lang w:val="fr-FR"/>
        </w:rPr>
        <w:t>À propos de Farnell element14</w:t>
      </w:r>
    </w:p>
    <w:p w:rsidR="00E55FAD" w:rsidRPr="00E55FAD" w:rsidRDefault="00E55FAD" w:rsidP="00E55FAD">
      <w:pPr>
        <w:spacing w:after="0" w:line="240" w:lineRule="auto"/>
        <w:rPr>
          <w:rFonts w:ascii="Arial" w:hAnsi="Arial" w:cs="Arial"/>
          <w:b/>
          <w:bCs/>
          <w:sz w:val="22"/>
          <w:u w:val="single"/>
          <w:lang w:val="fr-FR"/>
        </w:rPr>
      </w:pPr>
    </w:p>
    <w:p w:rsidR="00E55FAD" w:rsidRPr="00E55FAD" w:rsidRDefault="003625F3" w:rsidP="00E55FAD">
      <w:pPr>
        <w:spacing w:after="0" w:line="240" w:lineRule="auto"/>
        <w:rPr>
          <w:rFonts w:ascii="Arial" w:hAnsi="Arial" w:cs="Arial"/>
          <w:sz w:val="22"/>
          <w:lang w:val="fr-FR"/>
        </w:rPr>
      </w:pPr>
      <w:hyperlink r:id="rId10" w:history="1">
        <w:r w:rsidR="00E55FAD" w:rsidRPr="00E55FAD">
          <w:rPr>
            <w:rStyle w:val="Hyperlink"/>
            <w:rFonts w:ascii="Arial" w:hAnsi="Arial" w:cs="Arial"/>
            <w:color w:val="0563C1"/>
            <w:sz w:val="22"/>
            <w:lang w:val="fr-FR"/>
          </w:rPr>
          <w:t>Farnell element14</w:t>
        </w:r>
      </w:hyperlink>
      <w:r w:rsidR="00E55FAD" w:rsidRPr="00E55FAD">
        <w:rPr>
          <w:rFonts w:ascii="Arial" w:hAnsi="Arial" w:cs="Arial"/>
          <w:sz w:val="22"/>
          <w:lang w:val="fr-FR"/>
        </w:rPr>
        <w:t xml:space="preserve"> est une entité du groupe </w:t>
      </w:r>
      <w:hyperlink r:id="rId11" w:history="1">
        <w:r w:rsidR="00E55FAD" w:rsidRPr="00E55FAD">
          <w:rPr>
            <w:rStyle w:val="Hyperlink"/>
            <w:rFonts w:ascii="Arial" w:hAnsi="Arial" w:cs="Arial"/>
            <w:color w:val="0563C1"/>
            <w:sz w:val="22"/>
            <w:lang w:val="fr-FR"/>
          </w:rPr>
          <w:t>Premier Farnell</w:t>
        </w:r>
      </w:hyperlink>
      <w:r w:rsidR="00E55FAD" w:rsidRPr="00E55FAD">
        <w:rPr>
          <w:rStyle w:val="Hyperlink"/>
          <w:rFonts w:ascii="Arial" w:hAnsi="Arial" w:cs="Arial"/>
          <w:color w:val="auto"/>
          <w:sz w:val="22"/>
          <w:u w:val="none"/>
          <w:lang w:val="fr-FR"/>
        </w:rPr>
        <w:t xml:space="preserve">, leader mondial de services technologiques de qualité, doté de plus de 80 </w:t>
      </w:r>
      <w:r w:rsidR="00E55FAD" w:rsidRPr="00E55FAD">
        <w:rPr>
          <w:rFonts w:ascii="Arial" w:hAnsi="Arial" w:cs="Arial"/>
          <w:color w:val="000000"/>
          <w:sz w:val="22"/>
          <w:lang w:val="fr-FR"/>
        </w:rPr>
        <w:t>ans d’expérience dans la distribution de produits et de solutions technologiques pour la conception, la production, la maintenance et la réparation de systèmes électroniques.</w:t>
      </w:r>
      <w:r w:rsidR="00E55FAD" w:rsidRPr="00E55FAD">
        <w:rPr>
          <w:rFonts w:ascii="Arial" w:hAnsi="Arial" w:cs="Arial"/>
          <w:sz w:val="22"/>
          <w:lang w:val="fr-FR"/>
        </w:rPr>
        <w:t xml:space="preserve">  </w:t>
      </w:r>
    </w:p>
    <w:p w:rsidR="00E55FAD" w:rsidRPr="00E55FAD" w:rsidRDefault="00E55FAD" w:rsidP="00E55FAD">
      <w:pPr>
        <w:spacing w:after="0" w:line="240" w:lineRule="auto"/>
        <w:rPr>
          <w:rFonts w:ascii="Arial" w:hAnsi="Arial" w:cs="Arial"/>
          <w:sz w:val="22"/>
          <w:lang w:val="fr-FR"/>
        </w:rPr>
      </w:pPr>
    </w:p>
    <w:p w:rsidR="00E55FAD" w:rsidRPr="00E55FAD" w:rsidRDefault="00E55FAD" w:rsidP="00E55FAD">
      <w:pPr>
        <w:pStyle w:val="HTMLPreformatted"/>
        <w:shd w:val="clear" w:color="auto" w:fill="FFFFFF"/>
        <w:rPr>
          <w:rFonts w:ascii="inherit" w:eastAsia="Times New Roman" w:hAnsi="inherit" w:cs="Courier New"/>
          <w:color w:val="212121"/>
          <w:kern w:val="0"/>
          <w:sz w:val="22"/>
          <w:szCs w:val="20"/>
          <w:lang w:val="fr-FR" w:eastAsia="en-GB" w:bidi="ar-SA"/>
        </w:rPr>
      </w:pPr>
      <w:r w:rsidRPr="00E55FAD">
        <w:rPr>
          <w:rFonts w:ascii="Arial" w:eastAsia="Times New Roman" w:hAnsi="Arial" w:cs="Arial"/>
          <w:color w:val="212121"/>
          <w:kern w:val="0"/>
          <w:sz w:val="22"/>
          <w:lang w:val="fr-FR" w:eastAsia="en-GB" w:bidi="ar-SA"/>
        </w:rPr>
        <w:t xml:space="preserve">Premier Farnell est une unité d'affaires d'Avnet (Nasdaq: </w:t>
      </w:r>
      <w:hyperlink r:id="rId12" w:history="1">
        <w:r w:rsidRPr="00E55FAD">
          <w:rPr>
            <w:rStyle w:val="Hyperlink"/>
            <w:rFonts w:ascii="Arial" w:eastAsia="Times New Roman" w:hAnsi="Arial" w:cs="Arial"/>
            <w:color w:val="0563C1"/>
            <w:kern w:val="0"/>
            <w:sz w:val="22"/>
            <w:lang w:val="fr-FR" w:eastAsia="en-GB" w:bidi="ar-SA"/>
          </w:rPr>
          <w:t>AVT</w:t>
        </w:r>
      </w:hyperlink>
      <w:r w:rsidRPr="00E55FAD">
        <w:rPr>
          <w:rFonts w:ascii="Arial" w:eastAsia="Times New Roman" w:hAnsi="Arial" w:cs="Arial"/>
          <w:color w:val="212121"/>
          <w:kern w:val="0"/>
          <w:sz w:val="22"/>
          <w:lang w:val="fr-FR" w:eastAsia="en-GB" w:bidi="ar-SA"/>
        </w:rPr>
        <w:t>).</w:t>
      </w:r>
      <w:r w:rsidRPr="00E55FAD">
        <w:rPr>
          <w:rFonts w:ascii="Arial" w:hAnsi="Arial" w:cs="Arial"/>
          <w:sz w:val="22"/>
          <w:shd w:val="clear" w:color="auto" w:fill="FFFFFF"/>
          <w:lang w:val="fr-FR"/>
        </w:rPr>
        <w:t xml:space="preserve"> Premier Farnell exerce ses activités sous le nom de </w:t>
      </w:r>
      <w:hyperlink r:id="rId13" w:history="1">
        <w:r w:rsidRPr="00E55FAD">
          <w:rPr>
            <w:rStyle w:val="Hyperlink"/>
            <w:rFonts w:ascii="Arial" w:hAnsi="Arial" w:cs="Arial"/>
            <w:color w:val="0563C1"/>
            <w:sz w:val="22"/>
            <w:lang w:val="fr-FR"/>
          </w:rPr>
          <w:t>Farnell element14</w:t>
        </w:r>
      </w:hyperlink>
      <w:r w:rsidRPr="00E55FAD">
        <w:rPr>
          <w:rStyle w:val="Hyperlink"/>
          <w:rFonts w:ascii="Arial" w:hAnsi="Arial" w:cs="Arial"/>
          <w:color w:val="auto"/>
          <w:sz w:val="22"/>
          <w:u w:val="none"/>
          <w:lang w:val="fr-FR"/>
        </w:rPr>
        <w:t xml:space="preserve"> en Europe, de </w:t>
      </w:r>
      <w:hyperlink r:id="rId14" w:history="1">
        <w:r w:rsidRPr="00E55FAD">
          <w:rPr>
            <w:rStyle w:val="Hyperlink"/>
            <w:rFonts w:ascii="Arial" w:hAnsi="Arial" w:cs="Arial"/>
            <w:color w:val="0563C1"/>
            <w:sz w:val="22"/>
            <w:lang w:val="fr-FR"/>
          </w:rPr>
          <w:t>Newark element14</w:t>
        </w:r>
      </w:hyperlink>
      <w:r w:rsidRPr="00E55FAD">
        <w:rPr>
          <w:rStyle w:val="Hyperlink"/>
          <w:rFonts w:ascii="Arial" w:hAnsi="Arial" w:cs="Arial"/>
          <w:sz w:val="22"/>
          <w:lang w:val="fr-FR"/>
        </w:rPr>
        <w:t xml:space="preserve"> </w:t>
      </w:r>
      <w:r w:rsidRPr="00E55FAD">
        <w:rPr>
          <w:rStyle w:val="Hyperlink"/>
          <w:rFonts w:ascii="Arial" w:hAnsi="Arial" w:cs="Arial"/>
          <w:color w:val="auto"/>
          <w:sz w:val="22"/>
          <w:u w:val="none"/>
          <w:lang w:val="fr-FR"/>
        </w:rPr>
        <w:t xml:space="preserve">en Amérique du Nord, et </w:t>
      </w:r>
      <w:proofErr w:type="gramStart"/>
      <w:r w:rsidRPr="00E55FAD">
        <w:rPr>
          <w:rStyle w:val="Hyperlink"/>
          <w:rFonts w:ascii="Arial" w:hAnsi="Arial" w:cs="Arial"/>
          <w:color w:val="auto"/>
          <w:sz w:val="22"/>
          <w:u w:val="none"/>
          <w:lang w:val="fr-FR"/>
        </w:rPr>
        <w:t>de</w:t>
      </w:r>
      <w:r w:rsidRPr="00E55FAD">
        <w:rPr>
          <w:rStyle w:val="Hyperlink"/>
          <w:rFonts w:ascii="Arial" w:hAnsi="Arial" w:cs="Arial"/>
          <w:sz w:val="22"/>
          <w:lang w:val="fr-FR"/>
        </w:rPr>
        <w:t xml:space="preserve"> </w:t>
      </w:r>
      <w:hyperlink r:id="rId15" w:history="1">
        <w:r w:rsidRPr="00E55FAD">
          <w:rPr>
            <w:rStyle w:val="Hyperlink"/>
            <w:rFonts w:ascii="Arial" w:hAnsi="Arial" w:cs="Arial"/>
            <w:color w:val="0563C1"/>
            <w:sz w:val="22"/>
            <w:lang w:val="fr-FR"/>
          </w:rPr>
          <w:t>element14</w:t>
        </w:r>
      </w:hyperlink>
      <w:proofErr w:type="gramEnd"/>
      <w:r w:rsidRPr="00E55FAD">
        <w:rPr>
          <w:rStyle w:val="Hyperlink"/>
          <w:rFonts w:ascii="Arial" w:hAnsi="Arial" w:cs="Arial"/>
          <w:sz w:val="22"/>
          <w:lang w:val="fr-FR"/>
        </w:rPr>
        <w:t xml:space="preserve"> </w:t>
      </w:r>
      <w:r w:rsidRPr="00E55FAD">
        <w:rPr>
          <w:rStyle w:val="Hyperlink"/>
          <w:rFonts w:ascii="Arial" w:hAnsi="Arial" w:cs="Arial"/>
          <w:color w:val="auto"/>
          <w:sz w:val="22"/>
          <w:u w:val="none"/>
          <w:lang w:val="fr-FR"/>
        </w:rPr>
        <w:t>dans la région Asie Pacifique.</w:t>
      </w:r>
      <w:r w:rsidRPr="00E55FAD">
        <w:rPr>
          <w:rFonts w:ascii="Arial" w:hAnsi="Arial" w:cs="Arial"/>
          <w:sz w:val="22"/>
          <w:lang w:val="fr-FR"/>
        </w:rPr>
        <w:t xml:space="preserve"> </w:t>
      </w:r>
      <w:r w:rsidRPr="00E55FAD">
        <w:rPr>
          <w:rFonts w:ascii="Arial" w:eastAsia="Times New Roman" w:hAnsi="Arial" w:cs="Arial"/>
          <w:color w:val="212121"/>
          <w:kern w:val="0"/>
          <w:sz w:val="22"/>
          <w:szCs w:val="20"/>
          <w:lang w:val="fr-FR" w:eastAsia="en-GB" w:bidi="ar-SA"/>
        </w:rPr>
        <w:t xml:space="preserve">Le groupe Premier Farnell s'appuie sur une chaîne d'approvisionnement mondiale de plus de 3 500 fournisseurs et dispose d'un vaste profil d'inventaire développé pour anticiper et répondre aux besoins des clients innovants partout dans le monde. </w:t>
      </w:r>
    </w:p>
    <w:p w:rsidR="00E55FAD" w:rsidRPr="00E55FAD" w:rsidRDefault="00E55FAD" w:rsidP="00E55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Arial" w:hAnsi="Arial" w:cs="Arial"/>
          <w:sz w:val="22"/>
          <w:lang w:val="fr-FR"/>
        </w:rPr>
      </w:pPr>
    </w:p>
    <w:p w:rsidR="00E55FAD" w:rsidRPr="00E55FAD" w:rsidRDefault="00E55FAD" w:rsidP="00E55FAD">
      <w:pPr>
        <w:shd w:val="clear" w:color="auto" w:fill="FFFFFF"/>
        <w:spacing w:after="0" w:line="240" w:lineRule="auto"/>
        <w:rPr>
          <w:rFonts w:ascii="Arial" w:hAnsi="Arial" w:cs="Arial"/>
          <w:sz w:val="22"/>
          <w:lang w:val="fr-FR"/>
        </w:rPr>
      </w:pPr>
      <w:r w:rsidRPr="00E55FAD">
        <w:rPr>
          <w:rFonts w:ascii="Arial" w:hAnsi="Arial" w:cs="Arial"/>
          <w:sz w:val="22"/>
          <w:lang w:val="fr-FR"/>
        </w:rPr>
        <w:t xml:space="preserve">Pour plus d’informations, visitez le site Web de Premier Farnell à l’adresse : </w:t>
      </w:r>
      <w:hyperlink r:id="rId16" w:history="1">
        <w:r w:rsidRPr="00E55FAD">
          <w:rPr>
            <w:rStyle w:val="Hyperlink"/>
            <w:rFonts w:ascii="Arial" w:hAnsi="Arial" w:cs="Arial"/>
            <w:color w:val="0563C1"/>
            <w:sz w:val="22"/>
            <w:lang w:val="fr-FR"/>
          </w:rPr>
          <w:t>http://www.premierfarnell.com</w:t>
        </w:r>
      </w:hyperlink>
      <w:r w:rsidRPr="00E55FAD">
        <w:rPr>
          <w:rFonts w:ascii="Arial" w:hAnsi="Arial" w:cs="Arial"/>
          <w:sz w:val="22"/>
          <w:lang w:val="fr-FR"/>
        </w:rPr>
        <w:t>.</w:t>
      </w:r>
    </w:p>
    <w:p w:rsidR="00E55FAD" w:rsidRPr="00E55FAD" w:rsidRDefault="00E55FAD" w:rsidP="00E55FAD">
      <w:pPr>
        <w:shd w:val="clear" w:color="auto" w:fill="FFFFFF"/>
        <w:spacing w:after="0" w:line="240" w:lineRule="auto"/>
        <w:rPr>
          <w:rFonts w:ascii="Arial" w:hAnsi="Arial" w:cs="Arial"/>
          <w:sz w:val="22"/>
          <w:lang w:val="fr-FR"/>
        </w:rPr>
      </w:pPr>
    </w:p>
    <w:p w:rsidR="00E55FAD" w:rsidRPr="00E55FAD" w:rsidRDefault="00E55FAD" w:rsidP="00E55FAD">
      <w:pPr>
        <w:pStyle w:val="ColorfulList-Accent11"/>
        <w:spacing w:after="0" w:line="240" w:lineRule="auto"/>
        <w:ind w:left="0"/>
        <w:rPr>
          <w:rFonts w:ascii="Arial" w:hAnsi="Arial" w:cs="Arial"/>
          <w:color w:val="000000"/>
          <w:szCs w:val="20"/>
          <w:lang w:val="fr-FR"/>
        </w:rPr>
      </w:pPr>
      <w:r w:rsidRPr="00E55FAD">
        <w:rPr>
          <w:rFonts w:ascii="Arial" w:hAnsi="Arial" w:cs="Arial"/>
          <w:b/>
          <w:bCs/>
          <w:szCs w:val="20"/>
          <w:lang w:val="fr-FR"/>
        </w:rPr>
        <w:t>Agence de relations publiques européenne :</w:t>
      </w:r>
      <w:r w:rsidRPr="00E55FAD">
        <w:rPr>
          <w:rFonts w:ascii="Arial" w:hAnsi="Arial" w:cs="Arial"/>
          <w:b/>
          <w:color w:val="000000"/>
          <w:szCs w:val="20"/>
          <w:u w:val="single"/>
          <w:lang w:val="fr-FR"/>
        </w:rPr>
        <w:t xml:space="preserve"> </w:t>
      </w:r>
    </w:p>
    <w:p w:rsidR="00E55FAD" w:rsidRPr="00E55FAD" w:rsidRDefault="00E55FAD" w:rsidP="00E55FAD">
      <w:pPr>
        <w:spacing w:after="0" w:line="240" w:lineRule="auto"/>
        <w:rPr>
          <w:rFonts w:ascii="Arial" w:hAnsi="Arial" w:cs="Arial"/>
          <w:b/>
          <w:bCs/>
          <w:sz w:val="22"/>
        </w:rPr>
      </w:pPr>
      <w:r w:rsidRPr="00E55FAD">
        <w:rPr>
          <w:rFonts w:ascii="Arial" w:hAnsi="Arial" w:cs="Arial"/>
          <w:b/>
          <w:bCs/>
          <w:sz w:val="22"/>
        </w:rPr>
        <w:t>Chloe Willcox</w:t>
      </w:r>
    </w:p>
    <w:p w:rsidR="00E55FAD" w:rsidRPr="00E55FAD" w:rsidRDefault="00E55FAD" w:rsidP="00E55FAD">
      <w:pPr>
        <w:spacing w:after="0" w:line="240" w:lineRule="auto"/>
        <w:rPr>
          <w:rFonts w:ascii="Arial" w:hAnsi="Arial" w:cs="Arial"/>
          <w:b/>
          <w:bCs/>
          <w:sz w:val="22"/>
        </w:rPr>
      </w:pPr>
      <w:r w:rsidRPr="00E55FAD">
        <w:rPr>
          <w:rFonts w:ascii="Arial" w:hAnsi="Arial" w:cs="Arial"/>
          <w:b/>
          <w:bCs/>
          <w:sz w:val="22"/>
        </w:rPr>
        <w:t>Napier Partnership</w:t>
      </w:r>
    </w:p>
    <w:p w:rsidR="00E55FAD" w:rsidRPr="00E55FAD" w:rsidRDefault="00E55FAD" w:rsidP="00E55FAD">
      <w:pPr>
        <w:spacing w:after="0" w:line="240" w:lineRule="auto"/>
        <w:rPr>
          <w:rFonts w:ascii="Arial" w:hAnsi="Arial" w:cs="Arial"/>
          <w:bCs/>
          <w:sz w:val="22"/>
          <w:lang w:val="es-AR"/>
        </w:rPr>
      </w:pPr>
      <w:proofErr w:type="spellStart"/>
      <w:r w:rsidRPr="00E55FAD">
        <w:rPr>
          <w:rFonts w:ascii="Arial" w:hAnsi="Arial" w:cs="Arial"/>
          <w:bCs/>
          <w:sz w:val="22"/>
          <w:lang w:val="es-AR"/>
        </w:rPr>
        <w:t>Tél</w:t>
      </w:r>
      <w:proofErr w:type="spellEnd"/>
      <w:r w:rsidRPr="00E55FAD">
        <w:rPr>
          <w:rFonts w:ascii="Arial" w:hAnsi="Arial" w:cs="Arial"/>
          <w:bCs/>
          <w:sz w:val="22"/>
          <w:lang w:val="es-AR"/>
        </w:rPr>
        <w:t>. : +44 1243 531123</w:t>
      </w:r>
    </w:p>
    <w:p w:rsidR="00E55FAD" w:rsidRPr="00E55FAD" w:rsidRDefault="00E55FAD" w:rsidP="00E55FAD">
      <w:pPr>
        <w:spacing w:after="0" w:line="240" w:lineRule="auto"/>
        <w:rPr>
          <w:rFonts w:ascii="Arial" w:hAnsi="Arial" w:cs="Arial"/>
          <w:sz w:val="22"/>
          <w:lang w:val="it-IT"/>
        </w:rPr>
      </w:pPr>
      <w:r w:rsidRPr="00E55FAD">
        <w:rPr>
          <w:rFonts w:ascii="Arial" w:hAnsi="Arial" w:cs="Arial"/>
          <w:bCs/>
          <w:sz w:val="22"/>
          <w:lang w:val="it-IT"/>
        </w:rPr>
        <w:t xml:space="preserve">E-mail : </w:t>
      </w:r>
      <w:hyperlink r:id="rId17" w:history="1">
        <w:r w:rsidRPr="00E55FAD">
          <w:rPr>
            <w:rStyle w:val="Hyperlink"/>
            <w:rFonts w:ascii="Arial" w:hAnsi="Arial" w:cs="Arial"/>
            <w:color w:val="0563C1"/>
            <w:sz w:val="22"/>
            <w:lang w:val="it-IT"/>
          </w:rPr>
          <w:t>chloe@napierb2b.com</w:t>
        </w:r>
      </w:hyperlink>
    </w:p>
    <w:p w:rsidR="00E55FAD" w:rsidRPr="00E55FAD" w:rsidRDefault="003625F3" w:rsidP="00E55FAD">
      <w:pPr>
        <w:spacing w:after="0" w:line="240" w:lineRule="auto"/>
        <w:rPr>
          <w:rFonts w:ascii="Arial" w:hAnsi="Arial" w:cs="Arial"/>
          <w:b/>
          <w:bCs/>
          <w:color w:val="0563C1"/>
          <w:sz w:val="22"/>
          <w:lang w:val="it-IT"/>
        </w:rPr>
      </w:pPr>
      <w:hyperlink r:id="rId18" w:history="1">
        <w:r w:rsidR="00E55FAD" w:rsidRPr="00E55FAD">
          <w:rPr>
            <w:rStyle w:val="Hyperlink"/>
            <w:rFonts w:ascii="Arial" w:hAnsi="Arial" w:cs="Arial"/>
            <w:color w:val="0563C1"/>
            <w:sz w:val="22"/>
            <w:lang w:val="it-IT"/>
          </w:rPr>
          <w:t>www.napierb2b.com</w:t>
        </w:r>
      </w:hyperlink>
      <w:r w:rsidR="00E55FAD" w:rsidRPr="00E55FAD">
        <w:rPr>
          <w:rFonts w:ascii="Arial" w:hAnsi="Arial" w:cs="Arial"/>
          <w:b/>
          <w:bCs/>
          <w:color w:val="0563C1"/>
          <w:sz w:val="22"/>
          <w:lang w:val="it-IT"/>
        </w:rPr>
        <w:t xml:space="preserve"> </w:t>
      </w:r>
    </w:p>
    <w:p w:rsidR="00E55FAD" w:rsidRPr="00E55FAD" w:rsidRDefault="00E55FAD" w:rsidP="00E55FAD">
      <w:pPr>
        <w:spacing w:after="0" w:line="240" w:lineRule="auto"/>
        <w:rPr>
          <w:rFonts w:ascii="Arial" w:hAnsi="Arial" w:cs="Arial"/>
          <w:b/>
          <w:bCs/>
          <w:sz w:val="22"/>
          <w:lang w:val="it-IT"/>
        </w:rPr>
      </w:pPr>
    </w:p>
    <w:p w:rsidR="00E55FAD" w:rsidRPr="00E55FAD" w:rsidRDefault="00E55FAD" w:rsidP="00E55FAD">
      <w:pPr>
        <w:spacing w:after="0" w:line="240" w:lineRule="auto"/>
        <w:rPr>
          <w:rFonts w:ascii="Arial" w:hAnsi="Arial" w:cs="Arial"/>
          <w:b/>
          <w:bCs/>
          <w:sz w:val="22"/>
          <w:lang w:val="it-IT"/>
        </w:rPr>
      </w:pPr>
      <w:r w:rsidRPr="00E55FAD">
        <w:rPr>
          <w:rFonts w:ascii="Arial" w:hAnsi="Arial" w:cs="Arial"/>
          <w:b/>
          <w:bCs/>
          <w:sz w:val="22"/>
          <w:lang w:val="it-IT"/>
        </w:rPr>
        <w:t>Premier Farnell:</w:t>
      </w:r>
    </w:p>
    <w:p w:rsidR="00E55FAD" w:rsidRPr="00E55FAD" w:rsidRDefault="00E55FAD" w:rsidP="00E55FAD">
      <w:pPr>
        <w:spacing w:after="0" w:line="240" w:lineRule="auto"/>
        <w:rPr>
          <w:rFonts w:ascii="Arial" w:hAnsi="Arial" w:cs="Arial"/>
          <w:b/>
          <w:bCs/>
          <w:sz w:val="22"/>
        </w:rPr>
      </w:pPr>
      <w:r w:rsidRPr="00E55FAD">
        <w:rPr>
          <w:rFonts w:ascii="Arial" w:hAnsi="Arial" w:cs="Arial"/>
          <w:b/>
          <w:bCs/>
          <w:sz w:val="22"/>
        </w:rPr>
        <w:t>Holly Smart</w:t>
      </w:r>
    </w:p>
    <w:p w:rsidR="00E55FAD" w:rsidRPr="00E55FAD" w:rsidRDefault="00E55FAD" w:rsidP="00E55FAD">
      <w:pPr>
        <w:spacing w:after="0" w:line="240" w:lineRule="auto"/>
        <w:rPr>
          <w:rFonts w:ascii="Arial" w:hAnsi="Arial" w:cs="Arial"/>
          <w:b/>
          <w:bCs/>
          <w:sz w:val="22"/>
        </w:rPr>
      </w:pPr>
      <w:r w:rsidRPr="00E55FAD">
        <w:rPr>
          <w:rFonts w:ascii="Arial" w:hAnsi="Arial" w:cs="Arial"/>
          <w:b/>
          <w:bCs/>
          <w:sz w:val="22"/>
        </w:rPr>
        <w:t>Head of PR and External Communications</w:t>
      </w:r>
    </w:p>
    <w:p w:rsidR="00E55FAD" w:rsidRPr="00E55FAD" w:rsidRDefault="00E55FAD" w:rsidP="00E55FAD">
      <w:pPr>
        <w:spacing w:after="0" w:line="240" w:lineRule="auto"/>
        <w:rPr>
          <w:rFonts w:ascii="Arial" w:hAnsi="Arial" w:cs="Arial"/>
          <w:bCs/>
          <w:sz w:val="22"/>
        </w:rPr>
      </w:pPr>
      <w:r w:rsidRPr="00E55FAD">
        <w:rPr>
          <w:rFonts w:ascii="Arial" w:hAnsi="Arial" w:cs="Arial"/>
          <w:bCs/>
          <w:sz w:val="22"/>
        </w:rPr>
        <w:t>Tel: +44 113 2485188</w:t>
      </w:r>
    </w:p>
    <w:p w:rsidR="00E55FAD" w:rsidRPr="00E55FAD" w:rsidRDefault="00E55FAD" w:rsidP="00E55FAD">
      <w:pPr>
        <w:spacing w:after="0" w:line="240" w:lineRule="auto"/>
        <w:rPr>
          <w:rStyle w:val="Hyperlink"/>
          <w:rFonts w:ascii="Arial" w:hAnsi="Arial" w:cs="Arial"/>
          <w:sz w:val="22"/>
        </w:rPr>
      </w:pPr>
      <w:r w:rsidRPr="00E55FAD">
        <w:rPr>
          <w:rFonts w:ascii="Arial" w:hAnsi="Arial" w:cs="Arial"/>
          <w:bCs/>
          <w:sz w:val="22"/>
        </w:rPr>
        <w:t>Email:</w:t>
      </w:r>
      <w:r w:rsidRPr="00E55FAD">
        <w:rPr>
          <w:rFonts w:ascii="Arial" w:hAnsi="Arial" w:cs="Arial"/>
          <w:b/>
          <w:bCs/>
          <w:sz w:val="22"/>
        </w:rPr>
        <w:t> </w:t>
      </w:r>
      <w:hyperlink r:id="rId19" w:history="1">
        <w:r w:rsidRPr="00E55FAD">
          <w:rPr>
            <w:rStyle w:val="Hyperlink"/>
            <w:rFonts w:ascii="Arial" w:hAnsi="Arial" w:cs="Arial"/>
            <w:color w:val="0563C1"/>
            <w:sz w:val="22"/>
          </w:rPr>
          <w:t>hsmart@premierfarnell.com</w:t>
        </w:r>
      </w:hyperlink>
    </w:p>
    <w:p w:rsidR="00E55FAD" w:rsidRPr="00E55FAD" w:rsidRDefault="00E55FAD" w:rsidP="00E55FAD">
      <w:pPr>
        <w:spacing w:after="0" w:line="240" w:lineRule="auto"/>
        <w:rPr>
          <w:rFonts w:ascii="Arial" w:hAnsi="Arial" w:cs="Arial"/>
          <w:bCs/>
          <w:sz w:val="22"/>
        </w:rPr>
      </w:pPr>
    </w:p>
    <w:p w:rsidR="00E55FAD" w:rsidRPr="00E55FAD" w:rsidRDefault="00E55FAD" w:rsidP="00E55FAD">
      <w:pPr>
        <w:spacing w:after="0" w:line="240" w:lineRule="auto"/>
        <w:rPr>
          <w:rFonts w:ascii="Arial" w:hAnsi="Arial" w:cs="Arial"/>
          <w:color w:val="000000"/>
          <w:sz w:val="22"/>
          <w:u w:val="single"/>
          <w:lang w:val="en-GB"/>
        </w:rPr>
      </w:pPr>
    </w:p>
    <w:p w:rsidR="00E55FAD" w:rsidRPr="00E55FAD" w:rsidRDefault="00E55FAD" w:rsidP="00E55FAD">
      <w:pPr>
        <w:spacing w:after="0" w:line="240" w:lineRule="auto"/>
        <w:rPr>
          <w:rFonts w:ascii="Arial" w:hAnsi="Arial" w:cs="Arial"/>
          <w:b/>
          <w:sz w:val="22"/>
        </w:rPr>
      </w:pPr>
    </w:p>
    <w:p w:rsidR="009F5EE3" w:rsidRPr="00E55FAD" w:rsidRDefault="009F5EE3">
      <w:pPr>
        <w:rPr>
          <w:sz w:val="22"/>
        </w:rPr>
      </w:pPr>
    </w:p>
    <w:sectPr w:rsidR="009F5EE3" w:rsidRPr="00E55FAD" w:rsidSect="00D978B8">
      <w:headerReference w:type="default" r:id="rId20"/>
      <w:footerReference w:type="default" r:id="rId21"/>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FAD" w:rsidRDefault="00E55FAD" w:rsidP="00E55FAD">
      <w:pPr>
        <w:spacing w:after="0" w:line="240" w:lineRule="auto"/>
      </w:pPr>
      <w:r>
        <w:separator/>
      </w:r>
    </w:p>
  </w:endnote>
  <w:endnote w:type="continuationSeparator" w:id="0">
    <w:p w:rsidR="00E55FAD" w:rsidRDefault="00E55FAD" w:rsidP="00E5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Keysight Sans Light">
    <w:altName w:val="Arial"/>
    <w:panose1 w:val="00000000000000000000"/>
    <w:charset w:val="00"/>
    <w:family w:val="swiss"/>
    <w:notTrueType/>
    <w:pitch w:val="default"/>
    <w:sig w:usb0="00000001" w:usb1="00000000" w:usb2="00000000" w:usb3="00000000" w:csb0="00000009"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59" w:rsidRPr="00101759" w:rsidRDefault="001C2AFD">
    <w:pPr>
      <w:pStyle w:val="Footer"/>
      <w:rPr>
        <w:rFonts w:ascii="Arial" w:hAnsi="Arial" w:cs="Arial"/>
        <w:lang w:val="en-GB"/>
      </w:rPr>
    </w:pPr>
    <w:r>
      <w:rPr>
        <w:rFonts w:ascii="Arial" w:hAnsi="Arial" w:cs="Arial"/>
        <w:lang w:val="en-GB"/>
      </w:rPr>
      <w:t>FAR</w:t>
    </w:r>
    <w:r w:rsidR="00E55FAD">
      <w:rPr>
        <w:rFonts w:ascii="Arial" w:hAnsi="Arial" w:cs="Arial"/>
        <w:lang w:val="en-GB"/>
      </w:rPr>
      <w:t>372f</w:t>
    </w:r>
    <w:r>
      <w:rPr>
        <w:rFonts w:ascii="Arial" w:hAnsi="Arial" w:cs="Arial"/>
        <w:lang w:val="en-GB"/>
      </w:rPr>
      <w: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FAD" w:rsidRDefault="00E55FAD" w:rsidP="00E55FAD">
      <w:pPr>
        <w:spacing w:after="0" w:line="240" w:lineRule="auto"/>
      </w:pPr>
      <w:r>
        <w:separator/>
      </w:r>
    </w:p>
  </w:footnote>
  <w:footnote w:type="continuationSeparator" w:id="0">
    <w:p w:rsidR="00E55FAD" w:rsidRDefault="00E55FAD" w:rsidP="00E55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3625F3" w:rsidP="00960163">
    <w:pPr>
      <w:pStyle w:val="Header"/>
      <w:jc w:val="center"/>
    </w:pPr>
  </w:p>
  <w:p w:rsidR="000865A0" w:rsidRDefault="001C2AFD" w:rsidP="00960163">
    <w:pPr>
      <w:pStyle w:val="Header"/>
      <w:jc w:val="center"/>
    </w:pPr>
    <w:r w:rsidRPr="003A7EBF">
      <w:rPr>
        <w:noProof/>
        <w:lang w:val="en-GB" w:eastAsia="en-GB" w:bidi="ar-SA"/>
      </w:rPr>
      <w:drawing>
        <wp:inline distT="0" distB="0" distL="0" distR="0" wp14:anchorId="668AB577" wp14:editId="726072B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14:anchorId="791CCFAE" wp14:editId="61584F41">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3625F3" w:rsidP="00960163">
    <w:pPr>
      <w:pStyle w:val="Header"/>
      <w:jc w:val="center"/>
    </w:pPr>
  </w:p>
  <w:p w:rsidR="000865A0" w:rsidRDefault="003625F3"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A2D39"/>
    <w:multiLevelType w:val="hybridMultilevel"/>
    <w:tmpl w:val="85CE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AD"/>
    <w:rsid w:val="001C2AFD"/>
    <w:rsid w:val="003625F3"/>
    <w:rsid w:val="0069582C"/>
    <w:rsid w:val="009F5EE3"/>
    <w:rsid w:val="00E5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95CDD-6CD7-47AA-AD05-4F7550C6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FAD"/>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5FAD"/>
    <w:rPr>
      <w:rFonts w:cs="Times New Roman"/>
      <w:color w:val="0000FF"/>
      <w:u w:val="single"/>
    </w:rPr>
  </w:style>
  <w:style w:type="paragraph" w:styleId="Header">
    <w:name w:val="header"/>
    <w:basedOn w:val="Normal"/>
    <w:link w:val="HeaderChar"/>
    <w:rsid w:val="00E55FA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E55FAD"/>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E55FAD"/>
    <w:pPr>
      <w:ind w:left="720"/>
    </w:pPr>
    <w:rPr>
      <w:rFonts w:cs="Calibri"/>
      <w:sz w:val="22"/>
      <w:szCs w:val="22"/>
    </w:rPr>
  </w:style>
  <w:style w:type="paragraph" w:styleId="Footer">
    <w:name w:val="footer"/>
    <w:basedOn w:val="Normal"/>
    <w:link w:val="FooterChar"/>
    <w:uiPriority w:val="99"/>
    <w:unhideWhenUsed/>
    <w:rsid w:val="00E55FAD"/>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E55FAD"/>
    <w:rPr>
      <w:rFonts w:ascii="Times New Roman" w:eastAsia="Arial Unicode MS" w:hAnsi="Times New Roman" w:cs="Mangal"/>
      <w:kern w:val="1"/>
      <w:sz w:val="20"/>
      <w:szCs w:val="18"/>
      <w:lang w:val="en-US" w:eastAsia="hi-IN" w:bidi="hi-IN"/>
    </w:rPr>
  </w:style>
  <w:style w:type="paragraph" w:styleId="HTMLPreformatted">
    <w:name w:val="HTML Preformatted"/>
    <w:basedOn w:val="Normal"/>
    <w:link w:val="HTMLPreformattedChar"/>
    <w:uiPriority w:val="99"/>
    <w:semiHidden/>
    <w:unhideWhenUsed/>
    <w:rsid w:val="00E55FAD"/>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E55FAD"/>
    <w:rPr>
      <w:rFonts w:ascii="Consolas" w:eastAsia="Arial Unicode MS" w:hAnsi="Consolas" w:cs="Mangal"/>
      <w:kern w:val="1"/>
      <w:sz w:val="20"/>
      <w:szCs w:val="18"/>
      <w:lang w:val="en-US" w:eastAsia="hi-IN" w:bidi="hi-IN"/>
    </w:rPr>
  </w:style>
  <w:style w:type="character" w:styleId="FollowedHyperlink">
    <w:name w:val="FollowedHyperlink"/>
    <w:basedOn w:val="DefaultParagraphFont"/>
    <w:uiPriority w:val="99"/>
    <w:semiHidden/>
    <w:unhideWhenUsed/>
    <w:rsid w:val="00E55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view-product.jspa?fsku=2912860&amp;nsku=72AC4094" TargetMode="External"/><Relationship Id="rId13" Type="http://schemas.openxmlformats.org/officeDocument/2006/relationships/hyperlink" Target="http://farnell.com/" TargetMode="External"/><Relationship Id="rId18" Type="http://schemas.openxmlformats.org/officeDocument/2006/relationships/hyperlink" Target="http://www.napierb2b.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fr.farnell.com/" TargetMode="External"/><Relationship Id="rId12" Type="http://schemas.openxmlformats.org/officeDocument/2006/relationships/hyperlink" Target="https://ir.avnet.com/" TargetMode="External"/><Relationship Id="rId17" Type="http://schemas.openxmlformats.org/officeDocument/2006/relationships/hyperlink" Target="mailto:chloe@napierb2b.com" TargetMode="External"/><Relationship Id="rId2" Type="http://schemas.openxmlformats.org/officeDocument/2006/relationships/styles" Target="styles.xml"/><Relationship Id="rId16" Type="http://schemas.openxmlformats.org/officeDocument/2006/relationships/hyperlink" Target="http://www.premierfarnel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mierfarnell.com/" TargetMode="External"/><Relationship Id="rId5" Type="http://schemas.openxmlformats.org/officeDocument/2006/relationships/footnotes" Target="footnotes.xml"/><Relationship Id="rId15" Type="http://schemas.openxmlformats.org/officeDocument/2006/relationships/hyperlink" Target="http://sg.element14.com/" TargetMode="External"/><Relationship Id="rId23" Type="http://schemas.openxmlformats.org/officeDocument/2006/relationships/theme" Target="theme/theme1.xml"/><Relationship Id="rId10" Type="http://schemas.openxmlformats.org/officeDocument/2006/relationships/hyperlink" Target="http://fr.farnell.com" TargetMode="External"/><Relationship Id="rId19" Type="http://schemas.openxmlformats.org/officeDocument/2006/relationships/hyperlink" Target="mailto:hsmart@premierfarnell.com" TargetMode="External"/><Relationship Id="rId4" Type="http://schemas.openxmlformats.org/officeDocument/2006/relationships/webSettings" Target="webSettings.xml"/><Relationship Id="rId9" Type="http://schemas.openxmlformats.org/officeDocument/2006/relationships/hyperlink" Target="http://www.element14.com/news" TargetMode="External"/><Relationship Id="rId14" Type="http://schemas.openxmlformats.org/officeDocument/2006/relationships/hyperlink" Target="http://www.newark.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4</cp:revision>
  <dcterms:created xsi:type="dcterms:W3CDTF">2018-12-03T09:02:00Z</dcterms:created>
  <dcterms:modified xsi:type="dcterms:W3CDTF">2019-01-18T12:24:00Z</dcterms:modified>
</cp:coreProperties>
</file>