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417" w:rsidRDefault="005A3417" w:rsidP="005A3417">
      <w:pPr>
        <w:spacing w:line="23" w:lineRule="atLeast"/>
        <w:rPr>
          <w:rFonts w:ascii="Arial" w:eastAsia="Calibri" w:hAnsi="Arial" w:cs="Arial"/>
          <w:b/>
          <w:color w:val="000000"/>
          <w:sz w:val="20"/>
          <w:szCs w:val="20"/>
          <w:lang w:val="en-GB"/>
        </w:rPr>
      </w:pPr>
    </w:p>
    <w:p w:rsidR="005A3417" w:rsidRDefault="005A3417" w:rsidP="005A3417">
      <w:pPr>
        <w:spacing w:line="23" w:lineRule="atLeast"/>
        <w:jc w:val="center"/>
        <w:rPr>
          <w:rFonts w:ascii="Arial" w:eastAsia="Calibri" w:hAnsi="Arial" w:cs="Arial"/>
          <w:b/>
          <w:color w:val="000000"/>
          <w:sz w:val="20"/>
          <w:szCs w:val="20"/>
          <w:lang w:val="en-GB"/>
        </w:rPr>
      </w:pPr>
    </w:p>
    <w:p w:rsidR="005A3417" w:rsidRDefault="005A3417" w:rsidP="005A3417">
      <w:pPr>
        <w:jc w:val="center"/>
        <w:rPr>
          <w:rFonts w:ascii="Arial" w:hAnsi="Arial" w:cs="Arial"/>
          <w:b/>
          <w:bCs/>
          <w:sz w:val="26"/>
          <w:szCs w:val="26"/>
          <w:lang w:val="en-GB" w:eastAsia="en-GB"/>
        </w:rPr>
      </w:pPr>
      <w:r>
        <w:rPr>
          <w:rFonts w:ascii="Arial" w:hAnsi="Arial" w:cs="Arial"/>
          <w:b/>
          <w:bCs/>
          <w:sz w:val="26"/>
          <w:szCs w:val="26"/>
          <w:lang w:val="en-GB" w:eastAsia="en-GB"/>
        </w:rPr>
        <w:t>Newark launches new Tektronix digital storage oscilloscope with up to 15% off whilst stocks last</w:t>
      </w:r>
    </w:p>
    <w:p w:rsidR="005A3417" w:rsidRDefault="005A3417" w:rsidP="005A3417">
      <w:pPr>
        <w:jc w:val="center"/>
        <w:rPr>
          <w:rFonts w:ascii="Arial" w:hAnsi="Arial" w:cs="Arial"/>
          <w:i/>
          <w:iCs/>
          <w:sz w:val="22"/>
          <w:szCs w:val="22"/>
          <w:lang w:val="en" w:eastAsia="en-GB"/>
        </w:rPr>
      </w:pPr>
      <w:r>
        <w:rPr>
          <w:rFonts w:ascii="Arial" w:hAnsi="Arial" w:cs="Arial"/>
          <w:b/>
          <w:bCs/>
          <w:sz w:val="26"/>
          <w:szCs w:val="26"/>
          <w:lang w:val="en-GB" w:eastAsia="en-GB"/>
        </w:rPr>
        <w:t xml:space="preserve">  </w:t>
      </w:r>
      <w:r>
        <w:rPr>
          <w:rFonts w:ascii="Arial" w:hAnsi="Arial" w:cs="Arial"/>
          <w:i/>
          <w:iCs/>
          <w:sz w:val="22"/>
          <w:szCs w:val="22"/>
          <w:lang w:val="en" w:eastAsia="en-GB"/>
        </w:rPr>
        <w:t xml:space="preserve">New </w:t>
      </w:r>
      <w:bookmarkStart w:id="0" w:name="_Hlk34309677"/>
      <w:r w:rsidRPr="0072586B">
        <w:rPr>
          <w:rFonts w:ascii="Arial" w:hAnsi="Arial" w:cs="Arial"/>
          <w:i/>
          <w:iCs/>
          <w:sz w:val="22"/>
          <w:szCs w:val="22"/>
          <w:lang w:val="en" w:eastAsia="en-GB"/>
        </w:rPr>
        <w:t>TBS2000B</w:t>
      </w:r>
      <w:bookmarkEnd w:id="0"/>
      <w:r w:rsidRPr="0072586B">
        <w:rPr>
          <w:rFonts w:ascii="Arial" w:hAnsi="Arial" w:cs="Arial"/>
          <w:i/>
          <w:iCs/>
          <w:sz w:val="22"/>
          <w:szCs w:val="22"/>
          <w:lang w:val="en" w:eastAsia="en-GB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lang w:val="en" w:eastAsia="en-GB"/>
        </w:rPr>
        <w:t>scope features</w:t>
      </w:r>
      <w:r w:rsidRPr="0072586B">
        <w:rPr>
          <w:rFonts w:ascii="Arial" w:hAnsi="Arial" w:cs="Arial"/>
          <w:i/>
          <w:iCs/>
          <w:sz w:val="22"/>
          <w:szCs w:val="22"/>
          <w:lang w:val="en" w:eastAsia="en-GB"/>
        </w:rPr>
        <w:t xml:space="preserve"> automated measurements</w:t>
      </w:r>
      <w:r>
        <w:rPr>
          <w:rFonts w:ascii="Arial" w:hAnsi="Arial" w:cs="Arial"/>
          <w:i/>
          <w:iCs/>
          <w:sz w:val="22"/>
          <w:szCs w:val="22"/>
          <w:lang w:val="en" w:eastAsia="en-GB"/>
        </w:rPr>
        <w:t xml:space="preserve"> to assist </w:t>
      </w:r>
      <w:r w:rsidRPr="0072586B">
        <w:rPr>
          <w:rFonts w:ascii="Arial" w:hAnsi="Arial" w:cs="Arial"/>
          <w:i/>
          <w:iCs/>
          <w:sz w:val="22"/>
          <w:szCs w:val="22"/>
          <w:lang w:val="en" w:eastAsia="en-GB"/>
        </w:rPr>
        <w:t>engineers and educators</w:t>
      </w:r>
    </w:p>
    <w:p w:rsidR="005A3417" w:rsidRPr="001442B9" w:rsidRDefault="005A3417" w:rsidP="005A3417">
      <w:pPr>
        <w:jc w:val="center"/>
        <w:rPr>
          <w:rFonts w:ascii="Arial" w:hAnsi="Arial" w:cs="Arial"/>
          <w:b/>
          <w:bCs/>
          <w:lang w:val="en-GB" w:eastAsia="en-GB"/>
        </w:rPr>
      </w:pPr>
    </w:p>
    <w:p w:rsidR="005A3417" w:rsidRDefault="005A3417" w:rsidP="005A3417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  <w:lang w:val="en-GB"/>
        </w:rPr>
        <w:t>Chicago</w:t>
      </w:r>
      <w:r w:rsidRPr="00494FAA">
        <w:rPr>
          <w:rFonts w:ascii="Arial" w:eastAsiaTheme="minorHAnsi" w:hAnsi="Arial" w:cs="Arial"/>
          <w:b/>
          <w:sz w:val="22"/>
          <w:szCs w:val="22"/>
          <w:lang w:val="en-GB"/>
        </w:rPr>
        <w:t xml:space="preserve"> – </w:t>
      </w:r>
      <w:r>
        <w:rPr>
          <w:rFonts w:ascii="Arial" w:eastAsiaTheme="minorHAnsi" w:hAnsi="Arial" w:cs="Arial"/>
          <w:b/>
          <w:sz w:val="22"/>
          <w:szCs w:val="22"/>
          <w:lang w:val="en-GB"/>
        </w:rPr>
        <w:t xml:space="preserve">April </w:t>
      </w:r>
      <w:r w:rsidR="003802AB">
        <w:rPr>
          <w:rFonts w:ascii="Arial" w:eastAsiaTheme="minorHAnsi" w:hAnsi="Arial" w:cs="Arial"/>
          <w:b/>
          <w:sz w:val="22"/>
          <w:szCs w:val="22"/>
          <w:lang w:val="en-GB"/>
        </w:rPr>
        <w:t>30</w:t>
      </w:r>
      <w:r>
        <w:rPr>
          <w:rFonts w:ascii="Arial" w:eastAsiaTheme="minorHAnsi" w:hAnsi="Arial" w:cs="Arial"/>
          <w:b/>
          <w:sz w:val="22"/>
          <w:szCs w:val="22"/>
          <w:lang w:val="en-GB"/>
        </w:rPr>
        <w:t xml:space="preserve"> 2020</w:t>
      </w:r>
      <w:r w:rsidRPr="00494FAA">
        <w:rPr>
          <w:rFonts w:ascii="Arial" w:eastAsiaTheme="minorHAnsi" w:hAnsi="Arial" w:cs="Arial"/>
          <w:b/>
          <w:sz w:val="22"/>
          <w:szCs w:val="22"/>
          <w:lang w:val="en-GB"/>
        </w:rPr>
        <w:t xml:space="preserve">: </w:t>
      </w:r>
      <w:hyperlink r:id="rId7" w:history="1">
        <w:r w:rsidRPr="005A3417">
          <w:rPr>
            <w:rStyle w:val="Hyperlink"/>
            <w:rFonts w:ascii="Arial" w:eastAsiaTheme="minorHAnsi" w:hAnsi="Arial" w:cs="Arial"/>
            <w:sz w:val="22"/>
            <w:szCs w:val="22"/>
            <w:lang w:val="en-GB"/>
          </w:rPr>
          <w:t>Newark,</w:t>
        </w:r>
      </w:hyperlink>
      <w:r w:rsidRPr="005A3417">
        <w:rPr>
          <w:rFonts w:ascii="Arial" w:hAnsi="Arial" w:cs="Arial"/>
          <w:sz w:val="22"/>
          <w:szCs w:val="22"/>
        </w:rPr>
        <w:t xml:space="preserve"> th</w:t>
      </w:r>
      <w:r w:rsidRPr="00494FAA">
        <w:rPr>
          <w:rFonts w:ascii="Arial" w:hAnsi="Arial" w:cs="Arial"/>
          <w:sz w:val="22"/>
          <w:szCs w:val="22"/>
        </w:rPr>
        <w:t>e Development Distributor,</w:t>
      </w:r>
      <w:r>
        <w:rPr>
          <w:rFonts w:ascii="Arial" w:hAnsi="Arial" w:cs="Arial"/>
          <w:sz w:val="22"/>
          <w:szCs w:val="22"/>
        </w:rPr>
        <w:t xml:space="preserve"> has added the new entry level </w:t>
      </w:r>
      <w:r w:rsidRPr="0072586B">
        <w:rPr>
          <w:rFonts w:ascii="Arial" w:hAnsi="Arial" w:cs="Arial"/>
          <w:sz w:val="22"/>
          <w:szCs w:val="22"/>
        </w:rPr>
        <w:t>TBS2000B</w:t>
      </w:r>
      <w:r w:rsidRPr="0072586B">
        <w:t xml:space="preserve"> </w:t>
      </w:r>
      <w:r w:rsidRPr="0072586B">
        <w:rPr>
          <w:rFonts w:ascii="Arial" w:hAnsi="Arial" w:cs="Arial"/>
          <w:sz w:val="22"/>
          <w:szCs w:val="22"/>
        </w:rPr>
        <w:t>Digital Storage Oscilloscope</w:t>
      </w:r>
      <w:r>
        <w:rPr>
          <w:rFonts w:ascii="Arial" w:hAnsi="Arial" w:cs="Arial"/>
          <w:sz w:val="22"/>
          <w:szCs w:val="22"/>
        </w:rPr>
        <w:t xml:space="preserve"> from </w:t>
      </w:r>
      <w:r w:rsidRPr="0072586B">
        <w:rPr>
          <w:rFonts w:ascii="Arial" w:hAnsi="Arial" w:cs="Arial"/>
          <w:sz w:val="22"/>
          <w:szCs w:val="22"/>
        </w:rPr>
        <w:t>Tektronix</w:t>
      </w:r>
      <w:r>
        <w:rPr>
          <w:rFonts w:ascii="Arial" w:hAnsi="Arial" w:cs="Arial"/>
          <w:sz w:val="22"/>
          <w:szCs w:val="22"/>
        </w:rPr>
        <w:t xml:space="preserve"> to its test and measurement p</w:t>
      </w:r>
      <w:r w:rsidRPr="009F0D6D">
        <w:rPr>
          <w:rFonts w:ascii="Arial" w:hAnsi="Arial" w:cs="Arial"/>
          <w:sz w:val="22"/>
          <w:szCs w:val="22"/>
        </w:rPr>
        <w:t>ortfolio</w:t>
      </w:r>
      <w:r>
        <w:rPr>
          <w:rFonts w:ascii="Arial" w:hAnsi="Arial" w:cs="Arial"/>
          <w:sz w:val="22"/>
          <w:szCs w:val="22"/>
        </w:rPr>
        <w:t xml:space="preserve">. Electronics designers, test engineers and educators will benefit from its </w:t>
      </w:r>
      <w:r w:rsidRPr="00761175">
        <w:rPr>
          <w:rFonts w:ascii="Arial" w:hAnsi="Arial" w:cs="Arial"/>
          <w:sz w:val="22"/>
          <w:szCs w:val="22"/>
        </w:rPr>
        <w:t xml:space="preserve">easy-to-use controls, automated measurements and </w:t>
      </w:r>
      <w:r>
        <w:rPr>
          <w:rFonts w:ascii="Arial" w:hAnsi="Arial" w:cs="Arial"/>
          <w:sz w:val="22"/>
          <w:szCs w:val="22"/>
        </w:rPr>
        <w:t>large 9” display. The TBS2000B offers e</w:t>
      </w:r>
      <w:r w:rsidRPr="006327DF">
        <w:rPr>
          <w:rFonts w:ascii="Arial" w:hAnsi="Arial" w:cs="Arial"/>
          <w:sz w:val="22"/>
          <w:szCs w:val="22"/>
        </w:rPr>
        <w:t>xceptional performance and advanced debugging at an affordable price</w:t>
      </w:r>
      <w:r>
        <w:rPr>
          <w:rFonts w:ascii="Arial" w:hAnsi="Arial" w:cs="Arial"/>
          <w:sz w:val="22"/>
          <w:szCs w:val="22"/>
        </w:rPr>
        <w:t xml:space="preserve">. Customers can also benefit from a special new product promotion of </w:t>
      </w:r>
      <w:r w:rsidRPr="006327DF">
        <w:rPr>
          <w:rFonts w:ascii="Arial" w:hAnsi="Arial" w:cs="Arial"/>
          <w:sz w:val="22"/>
          <w:szCs w:val="22"/>
        </w:rPr>
        <w:t>up to 15% off whil</w:t>
      </w:r>
      <w:r>
        <w:rPr>
          <w:rFonts w:ascii="Arial" w:hAnsi="Arial" w:cs="Arial"/>
          <w:sz w:val="22"/>
          <w:szCs w:val="22"/>
        </w:rPr>
        <w:t>st</w:t>
      </w:r>
      <w:r w:rsidRPr="006327DF">
        <w:rPr>
          <w:rFonts w:ascii="Arial" w:hAnsi="Arial" w:cs="Arial"/>
          <w:sz w:val="22"/>
          <w:szCs w:val="22"/>
        </w:rPr>
        <w:t xml:space="preserve"> stocks last</w:t>
      </w:r>
      <w:r>
        <w:rPr>
          <w:rFonts w:ascii="Arial" w:hAnsi="Arial" w:cs="Arial"/>
          <w:sz w:val="22"/>
          <w:szCs w:val="22"/>
        </w:rPr>
        <w:t>.</w:t>
      </w:r>
    </w:p>
    <w:p w:rsidR="005A3417" w:rsidRDefault="005A3417" w:rsidP="005A3417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5A3417" w:rsidRDefault="005A3417" w:rsidP="005A3417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7B2BEF">
        <w:rPr>
          <w:rFonts w:ascii="Arial" w:hAnsi="Arial" w:cs="Arial"/>
          <w:sz w:val="22"/>
          <w:szCs w:val="22"/>
        </w:rPr>
        <w:t xml:space="preserve">The new Tektronix TBS2000B digital storage oscilloscope is built on the legendary performance and value of the </w:t>
      </w:r>
      <w:r>
        <w:rPr>
          <w:rFonts w:ascii="Arial" w:hAnsi="Arial" w:cs="Arial"/>
          <w:sz w:val="22"/>
          <w:szCs w:val="22"/>
        </w:rPr>
        <w:t xml:space="preserve">earlier </w:t>
      </w:r>
      <w:r w:rsidRPr="007B2BEF">
        <w:rPr>
          <w:rFonts w:ascii="Arial" w:hAnsi="Arial" w:cs="Arial"/>
          <w:sz w:val="22"/>
          <w:szCs w:val="22"/>
        </w:rPr>
        <w:t>TBS2000</w:t>
      </w:r>
      <w:r>
        <w:rPr>
          <w:rFonts w:ascii="Arial" w:hAnsi="Arial" w:cs="Arial"/>
          <w:sz w:val="22"/>
          <w:szCs w:val="22"/>
        </w:rPr>
        <w:t xml:space="preserve"> model</w:t>
      </w:r>
      <w:r w:rsidRPr="007B2BEF">
        <w:rPr>
          <w:rFonts w:ascii="Arial" w:hAnsi="Arial" w:cs="Arial"/>
          <w:sz w:val="22"/>
          <w:szCs w:val="22"/>
        </w:rPr>
        <w:t xml:space="preserve">, providing higher performance and greater ease of use at an affordable price. </w:t>
      </w:r>
      <w:r>
        <w:rPr>
          <w:rFonts w:ascii="Arial" w:hAnsi="Arial" w:cs="Arial"/>
          <w:sz w:val="22"/>
          <w:szCs w:val="22"/>
        </w:rPr>
        <w:t>T</w:t>
      </w:r>
      <w:r w:rsidRPr="00C04B05">
        <w:rPr>
          <w:rFonts w:ascii="Arial" w:hAnsi="Arial" w:cs="Arial"/>
          <w:sz w:val="22"/>
          <w:szCs w:val="22"/>
        </w:rPr>
        <w:t xml:space="preserve">he TBS2000B series is a </w:t>
      </w:r>
      <w:r>
        <w:rPr>
          <w:rFonts w:ascii="Arial" w:hAnsi="Arial" w:cs="Arial"/>
          <w:sz w:val="22"/>
          <w:szCs w:val="22"/>
        </w:rPr>
        <w:t xml:space="preserve">complete </w:t>
      </w:r>
      <w:r w:rsidRPr="00C04B05">
        <w:rPr>
          <w:rFonts w:ascii="Arial" w:hAnsi="Arial" w:cs="Arial"/>
          <w:sz w:val="22"/>
          <w:szCs w:val="22"/>
        </w:rPr>
        <w:t>drop-in replacement for TBS2000 series oscilloscopes, with the same form factor and programmable interface.</w:t>
      </w:r>
      <w:r>
        <w:rPr>
          <w:rFonts w:ascii="Arial" w:hAnsi="Arial" w:cs="Arial"/>
          <w:sz w:val="22"/>
          <w:szCs w:val="22"/>
        </w:rPr>
        <w:t xml:space="preserve"> Notable features include: </w:t>
      </w:r>
    </w:p>
    <w:p w:rsidR="005A3417" w:rsidRDefault="005A3417" w:rsidP="005A3417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5A3417" w:rsidRDefault="005A3417" w:rsidP="005A3417">
      <w:pPr>
        <w:pStyle w:val="ListParagraph"/>
        <w:numPr>
          <w:ilvl w:val="0"/>
          <w:numId w:val="1"/>
        </w:num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  <w:r w:rsidRPr="00554EFC">
        <w:rPr>
          <w:rFonts w:ascii="Arial" w:hAnsi="Arial" w:cs="Arial"/>
          <w:sz w:val="22"/>
          <w:szCs w:val="22"/>
        </w:rPr>
        <w:t xml:space="preserve">A 9-inch WVGA display with a 5-million-point record length and 2GS/s sample rate which enables users to capture and display significantly more signal, speeding up debug and design validation. </w:t>
      </w:r>
    </w:p>
    <w:p w:rsidR="005A3417" w:rsidRPr="00A83C8A" w:rsidRDefault="005A3417" w:rsidP="005A3417">
      <w:pPr>
        <w:pStyle w:val="ListParagraph"/>
        <w:numPr>
          <w:ilvl w:val="0"/>
          <w:numId w:val="1"/>
        </w:num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32 automated measurements and o</w:t>
      </w:r>
      <w:r w:rsidRPr="006A18A2">
        <w:rPr>
          <w:rFonts w:ascii="Arial" w:hAnsi="Arial" w:cs="Arial"/>
          <w:sz w:val="22"/>
          <w:szCs w:val="22"/>
        </w:rPr>
        <w:t xml:space="preserve">n-waveform cursor readouts with search and mark features </w:t>
      </w:r>
      <w:r>
        <w:rPr>
          <w:rFonts w:ascii="Arial" w:hAnsi="Arial" w:cs="Arial"/>
          <w:sz w:val="22"/>
          <w:szCs w:val="22"/>
        </w:rPr>
        <w:t xml:space="preserve">that </w:t>
      </w:r>
      <w:r w:rsidRPr="006A18A2">
        <w:rPr>
          <w:rFonts w:ascii="Arial" w:hAnsi="Arial" w:cs="Arial"/>
          <w:sz w:val="22"/>
          <w:szCs w:val="22"/>
        </w:rPr>
        <w:t>enable easy identification of events that occur in the acquired waveform</w:t>
      </w:r>
      <w:r>
        <w:rPr>
          <w:rFonts w:ascii="Arial" w:hAnsi="Arial" w:cs="Arial"/>
          <w:sz w:val="22"/>
          <w:szCs w:val="22"/>
        </w:rPr>
        <w:t>.</w:t>
      </w:r>
      <w:r w:rsidRPr="006A18A2">
        <w:rPr>
          <w:rFonts w:ascii="Arial" w:hAnsi="Arial" w:cs="Arial"/>
          <w:sz w:val="22"/>
          <w:szCs w:val="22"/>
        </w:rPr>
        <w:t xml:space="preserve"> </w:t>
      </w:r>
    </w:p>
    <w:p w:rsidR="005A3417" w:rsidRPr="00804500" w:rsidRDefault="005A3417" w:rsidP="005A3417">
      <w:pPr>
        <w:pStyle w:val="ListParagraph"/>
        <w:numPr>
          <w:ilvl w:val="0"/>
          <w:numId w:val="1"/>
        </w:num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  <w:proofErr w:type="spellStart"/>
      <w:r w:rsidRPr="00804500">
        <w:rPr>
          <w:rFonts w:ascii="Arial" w:hAnsi="Arial" w:cs="Arial" w:hint="eastAsia"/>
          <w:sz w:val="22"/>
          <w:szCs w:val="22"/>
        </w:rPr>
        <w:t>TekVPI</w:t>
      </w:r>
      <w:proofErr w:type="spellEnd"/>
      <w:r w:rsidRPr="00804500">
        <w:rPr>
          <w:rFonts w:ascii="Arial" w:hAnsi="Arial" w:cs="Arial" w:hint="eastAsia"/>
          <w:sz w:val="22"/>
          <w:szCs w:val="22"/>
        </w:rPr>
        <w:t>™</w:t>
      </w:r>
      <w:r w:rsidRPr="00804500">
        <w:rPr>
          <w:rFonts w:ascii="Arial" w:hAnsi="Arial" w:cs="Arial"/>
          <w:sz w:val="22"/>
          <w:szCs w:val="22"/>
        </w:rPr>
        <w:t>, Tektronix’</w:t>
      </w:r>
      <w:r>
        <w:rPr>
          <w:rFonts w:ascii="Arial" w:hAnsi="Arial" w:cs="Arial"/>
          <w:sz w:val="22"/>
          <w:szCs w:val="22"/>
        </w:rPr>
        <w:t>s</w:t>
      </w:r>
      <w:r w:rsidRPr="00804500">
        <w:rPr>
          <w:rFonts w:ascii="Arial" w:hAnsi="Arial" w:cs="Arial"/>
          <w:sz w:val="22"/>
          <w:szCs w:val="22"/>
        </w:rPr>
        <w:t xml:space="preserve"> proprietary probe support interface</w:t>
      </w:r>
      <w:r w:rsidRPr="00C566ED">
        <w:rPr>
          <w:rFonts w:ascii="Arial" w:hAnsi="Arial" w:cs="Arial"/>
          <w:sz w:val="22"/>
          <w:szCs w:val="22"/>
        </w:rPr>
        <w:t xml:space="preserve">, enabling wide application coverage using the latest active differential and current probes with automatic scaling and units. This is the industry’s only entry-level instrument featuring </w:t>
      </w:r>
      <w:proofErr w:type="spellStart"/>
      <w:r w:rsidRPr="00C566ED">
        <w:rPr>
          <w:rFonts w:ascii="Arial" w:hAnsi="Arial" w:cs="Arial" w:hint="eastAsia"/>
          <w:sz w:val="22"/>
          <w:szCs w:val="22"/>
        </w:rPr>
        <w:t>TekVPI</w:t>
      </w:r>
      <w:proofErr w:type="spellEnd"/>
      <w:r w:rsidRPr="00C566ED">
        <w:rPr>
          <w:rFonts w:ascii="Arial" w:hAnsi="Arial" w:cs="Arial" w:hint="eastAsia"/>
          <w:sz w:val="22"/>
          <w:szCs w:val="22"/>
        </w:rPr>
        <w:t>™</w:t>
      </w:r>
      <w:r w:rsidRPr="00804500">
        <w:rPr>
          <w:rFonts w:ascii="Arial" w:hAnsi="Arial" w:hint="cs"/>
          <w:sz w:val="22"/>
          <w:szCs w:val="22"/>
          <w:cs/>
        </w:rPr>
        <w:t xml:space="preserve">. </w:t>
      </w:r>
      <w:r w:rsidRPr="00804500">
        <w:rPr>
          <w:rFonts w:ascii="Arial" w:hAnsi="Arial" w:cs="Arial"/>
          <w:sz w:val="22"/>
          <w:szCs w:val="22"/>
        </w:rPr>
        <w:t xml:space="preserve">The TBS2000B also supports traditional passive BNC probes.  </w:t>
      </w:r>
    </w:p>
    <w:p w:rsidR="005A3417" w:rsidRPr="006A18A2" w:rsidRDefault="005A3417" w:rsidP="005A3417">
      <w:pPr>
        <w:pStyle w:val="ListParagraph"/>
        <w:numPr>
          <w:ilvl w:val="0"/>
          <w:numId w:val="1"/>
        </w:num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  <w:r>
        <w:rPr>
          <w:rFonts w:ascii="Arial" w:hAnsi="Arial" w:hint="cs"/>
          <w:sz w:val="22"/>
          <w:szCs w:val="22"/>
          <w:cs/>
        </w:rPr>
        <w:t>Range of c</w:t>
      </w:r>
      <w:r w:rsidRPr="00FD0612">
        <w:rPr>
          <w:rFonts w:ascii="Arial" w:hAnsi="Arial" w:cs="Arial"/>
          <w:sz w:val="22"/>
          <w:szCs w:val="22"/>
          <w:cs/>
        </w:rPr>
        <w:t>onnectivity options</w:t>
      </w:r>
      <w:r>
        <w:rPr>
          <w:rFonts w:ascii="Arial" w:hAnsi="Arial" w:cs="Nirmala UI" w:hint="cs"/>
          <w:sz w:val="22"/>
          <w:szCs w:val="22"/>
          <w:cs/>
        </w:rPr>
        <w:t xml:space="preserve"> </w:t>
      </w:r>
      <w:r w:rsidRPr="00234828">
        <w:rPr>
          <w:rFonts w:ascii="Arial" w:hAnsi="Arial" w:cs="Arial"/>
          <w:sz w:val="22"/>
          <w:szCs w:val="22"/>
          <w:cs/>
        </w:rPr>
        <w:t>including</w:t>
      </w:r>
      <w:r>
        <w:rPr>
          <w:rFonts w:ascii="Arial" w:hAnsi="Arial" w:cs="Nirmala UI" w:hint="cs"/>
          <w:sz w:val="22"/>
          <w:szCs w:val="22"/>
          <w:cs/>
        </w:rPr>
        <w:t xml:space="preserve"> </w:t>
      </w:r>
      <w:r w:rsidRPr="006A18A2">
        <w:rPr>
          <w:rFonts w:ascii="Arial" w:hAnsi="Arial" w:cs="Arial" w:hint="eastAsia"/>
          <w:sz w:val="22"/>
          <w:szCs w:val="22"/>
        </w:rPr>
        <w:t>Wi-Fi support (via USB Wi-Fi dongle), 2 USB host ports, and 100-BaseT Ethernet for easy</w:t>
      </w:r>
      <w:r>
        <w:rPr>
          <w:rFonts w:ascii="Arial" w:hAnsi="Arial" w:cs="Arial"/>
          <w:sz w:val="22"/>
          <w:szCs w:val="22"/>
        </w:rPr>
        <w:t xml:space="preserve"> sharing of measurements and</w:t>
      </w:r>
      <w:r w:rsidRPr="006A18A2">
        <w:rPr>
          <w:rFonts w:ascii="Arial" w:hAnsi="Arial" w:cs="Arial" w:hint="eastAsia"/>
          <w:sz w:val="22"/>
          <w:szCs w:val="22"/>
        </w:rPr>
        <w:t xml:space="preserve"> collaboration.</w:t>
      </w:r>
    </w:p>
    <w:p w:rsidR="005A3417" w:rsidRPr="00C04B05" w:rsidRDefault="005A3417" w:rsidP="005A3417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5A3417" w:rsidRDefault="005A3417" w:rsidP="005A3417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  <w:lang w:val="en-GB"/>
        </w:rPr>
      </w:pPr>
      <w:r w:rsidRPr="00A83C8A">
        <w:rPr>
          <w:rFonts w:ascii="Arial" w:hAnsi="Arial" w:cs="Arial"/>
          <w:b/>
          <w:bCs/>
          <w:sz w:val="22"/>
          <w:szCs w:val="22"/>
          <w:lang w:val="en-GB"/>
        </w:rPr>
        <w:t>James McGregor, G</w:t>
      </w:r>
      <w:r>
        <w:rPr>
          <w:rFonts w:ascii="Arial" w:hAnsi="Arial" w:cs="Arial"/>
          <w:b/>
          <w:bCs/>
          <w:sz w:val="22"/>
          <w:szCs w:val="22"/>
          <w:lang w:val="en-GB"/>
        </w:rPr>
        <w:t>lobal Head of Test &amp; Tools</w:t>
      </w:r>
      <w:r w:rsidRPr="00A83C8A">
        <w:rPr>
          <w:rFonts w:ascii="Arial" w:hAnsi="Arial" w:cs="Arial"/>
          <w:b/>
          <w:bCs/>
          <w:sz w:val="22"/>
          <w:szCs w:val="22"/>
          <w:lang w:val="en-GB"/>
        </w:rPr>
        <w:t xml:space="preserve"> at </w:t>
      </w:r>
      <w:r>
        <w:rPr>
          <w:rFonts w:ascii="Arial" w:hAnsi="Arial" w:cs="Arial"/>
          <w:b/>
          <w:bCs/>
          <w:sz w:val="22"/>
          <w:szCs w:val="22"/>
          <w:lang w:val="en-GB"/>
        </w:rPr>
        <w:t>Newark</w:t>
      </w:r>
      <w:r w:rsidRPr="00A83C8A">
        <w:rPr>
          <w:rFonts w:ascii="Arial" w:hAnsi="Arial" w:cs="Arial"/>
          <w:b/>
          <w:bCs/>
          <w:sz w:val="22"/>
          <w:szCs w:val="22"/>
          <w:lang w:val="en-GB"/>
        </w:rPr>
        <w:t xml:space="preserve"> said</w:t>
      </w:r>
      <w:r w:rsidRPr="00B579C0">
        <w:rPr>
          <w:rFonts w:ascii="Arial" w:hAnsi="Arial" w:cs="Arial"/>
          <w:sz w:val="22"/>
          <w:szCs w:val="22"/>
          <w:lang w:val="en-GB"/>
        </w:rPr>
        <w:t>,</w:t>
      </w:r>
      <w:r>
        <w:rPr>
          <w:rFonts w:ascii="Arial" w:hAnsi="Arial" w:cs="Arial"/>
          <w:sz w:val="22"/>
          <w:szCs w:val="22"/>
          <w:lang w:val="en-GB"/>
        </w:rPr>
        <w:t xml:space="preserve"> “The </w:t>
      </w:r>
      <w:r w:rsidRPr="00E90282">
        <w:rPr>
          <w:rFonts w:ascii="Arial" w:hAnsi="Arial" w:cs="Arial"/>
          <w:sz w:val="22"/>
          <w:szCs w:val="22"/>
          <w:lang w:val="en-GB"/>
        </w:rPr>
        <w:t>Tektronix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E90282">
        <w:rPr>
          <w:rFonts w:ascii="Arial" w:hAnsi="Arial" w:cs="Arial"/>
          <w:sz w:val="22"/>
          <w:szCs w:val="22"/>
          <w:lang w:val="en-GB"/>
        </w:rPr>
        <w:t>TBS2000B series offers a</w:t>
      </w:r>
      <w:r>
        <w:rPr>
          <w:rFonts w:ascii="Arial" w:hAnsi="Arial" w:cs="Arial"/>
          <w:sz w:val="22"/>
          <w:szCs w:val="22"/>
          <w:lang w:val="en-GB"/>
        </w:rPr>
        <w:t xml:space="preserve"> major </w:t>
      </w:r>
      <w:r w:rsidRPr="00E90282">
        <w:rPr>
          <w:rFonts w:ascii="Arial" w:hAnsi="Arial" w:cs="Arial"/>
          <w:sz w:val="22"/>
          <w:szCs w:val="22"/>
          <w:lang w:val="en-GB"/>
        </w:rPr>
        <w:t>upgrade on one of the most popular product</w:t>
      </w:r>
      <w:r>
        <w:rPr>
          <w:rFonts w:ascii="Arial" w:hAnsi="Arial" w:cs="Arial"/>
          <w:sz w:val="22"/>
          <w:szCs w:val="22"/>
          <w:lang w:val="en-GB"/>
        </w:rPr>
        <w:t>s</w:t>
      </w:r>
      <w:r w:rsidRPr="00E90282">
        <w:rPr>
          <w:rFonts w:ascii="Arial" w:hAnsi="Arial" w:cs="Arial"/>
          <w:sz w:val="22"/>
          <w:szCs w:val="22"/>
          <w:lang w:val="en-GB"/>
        </w:rPr>
        <w:t xml:space="preserve"> in the </w:t>
      </w:r>
      <w:r w:rsidRPr="005A3417">
        <w:rPr>
          <w:rFonts w:ascii="Arial" w:hAnsi="Arial" w:cs="Arial"/>
          <w:sz w:val="22"/>
          <w:szCs w:val="22"/>
          <w:lang w:val="en-GB"/>
        </w:rPr>
        <w:t>Newark</w:t>
      </w:r>
      <w:r w:rsidRPr="00E90282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test and measurement </w:t>
      </w:r>
      <w:r w:rsidRPr="00E90282">
        <w:rPr>
          <w:rFonts w:ascii="Arial" w:hAnsi="Arial" w:cs="Arial"/>
          <w:sz w:val="22"/>
          <w:szCs w:val="22"/>
          <w:lang w:val="en-GB"/>
        </w:rPr>
        <w:t>range</w:t>
      </w:r>
      <w:r>
        <w:rPr>
          <w:rFonts w:ascii="Arial" w:hAnsi="Arial" w:cs="Arial"/>
          <w:sz w:val="22"/>
          <w:szCs w:val="22"/>
          <w:lang w:val="en-GB"/>
        </w:rPr>
        <w:t xml:space="preserve"> and is suitable for a range of applications including IoT, automotive, defence, power and education. Users of the earlier </w:t>
      </w:r>
      <w:r w:rsidRPr="00062D0E">
        <w:rPr>
          <w:rFonts w:ascii="Arial" w:hAnsi="Arial" w:cs="Arial"/>
          <w:sz w:val="22"/>
          <w:szCs w:val="22"/>
        </w:rPr>
        <w:t>TBS2000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will easily transition to this new product and </w:t>
      </w:r>
      <w:r w:rsidRPr="00E90282">
        <w:rPr>
          <w:rFonts w:ascii="Arial" w:hAnsi="Arial" w:cs="Arial"/>
          <w:sz w:val="22"/>
          <w:szCs w:val="22"/>
          <w:lang w:val="en-GB"/>
        </w:rPr>
        <w:t>benefit from using brand new, cutting edge technology</w:t>
      </w:r>
      <w:r>
        <w:rPr>
          <w:rFonts w:ascii="Arial" w:hAnsi="Arial" w:cs="Arial"/>
          <w:sz w:val="22"/>
          <w:szCs w:val="22"/>
          <w:lang w:val="en-GB"/>
        </w:rPr>
        <w:t>. Intuitive control via the 9-inch display and automated measurements will increase productivity and speed up design and test processes.”</w:t>
      </w:r>
    </w:p>
    <w:p w:rsidR="005A3417" w:rsidRDefault="005A3417" w:rsidP="005A3417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  <w:highlight w:val="yellow"/>
        </w:rPr>
      </w:pPr>
    </w:p>
    <w:p w:rsidR="005A3417" w:rsidRDefault="005A3417" w:rsidP="005A3417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 xml:space="preserve">Newark offers its customers unrivalled 24/5 </w:t>
      </w:r>
      <w:r w:rsidRPr="00866BA5">
        <w:rPr>
          <w:rFonts w:ascii="Arial" w:hAnsi="Arial" w:cs="Arial"/>
          <w:sz w:val="22"/>
          <w:szCs w:val="22"/>
        </w:rPr>
        <w:t xml:space="preserve">technical support with dedicated </w:t>
      </w:r>
      <w:r>
        <w:rPr>
          <w:rFonts w:ascii="Arial" w:hAnsi="Arial" w:cs="Arial"/>
          <w:sz w:val="22"/>
          <w:szCs w:val="22"/>
        </w:rPr>
        <w:t>test and measurement</w:t>
      </w:r>
      <w:r w:rsidRPr="00866BA5">
        <w:rPr>
          <w:rFonts w:ascii="Arial" w:hAnsi="Arial" w:cs="Arial"/>
          <w:sz w:val="22"/>
          <w:szCs w:val="22"/>
        </w:rPr>
        <w:t xml:space="preserve"> specialists on-hand</w:t>
      </w:r>
      <w:r>
        <w:rPr>
          <w:rFonts w:ascii="Arial" w:hAnsi="Arial" w:cs="Arial"/>
          <w:sz w:val="22"/>
          <w:szCs w:val="22"/>
        </w:rPr>
        <w:t xml:space="preserve"> and extensive </w:t>
      </w:r>
      <w:r w:rsidRPr="00866BA5">
        <w:rPr>
          <w:rFonts w:ascii="Arial" w:hAnsi="Arial" w:cs="Arial"/>
          <w:sz w:val="22"/>
          <w:szCs w:val="22"/>
        </w:rPr>
        <w:t xml:space="preserve">online </w:t>
      </w:r>
      <w:r>
        <w:rPr>
          <w:rFonts w:ascii="Arial" w:hAnsi="Arial" w:cs="Arial"/>
          <w:sz w:val="22"/>
          <w:szCs w:val="22"/>
        </w:rPr>
        <w:t xml:space="preserve">resources such Newark’s </w:t>
      </w:r>
      <w:r w:rsidRPr="00866BA5">
        <w:rPr>
          <w:rFonts w:ascii="Arial" w:hAnsi="Arial" w:cs="Arial"/>
          <w:sz w:val="22"/>
          <w:szCs w:val="22"/>
        </w:rPr>
        <w:t xml:space="preserve">exclusive </w:t>
      </w:r>
      <w:hyperlink r:id="rId8" w:history="1">
        <w:r w:rsidRPr="005A3417">
          <w:rPr>
            <w:rStyle w:val="Hyperlink"/>
            <w:rFonts w:ascii="Arial" w:hAnsi="Arial" w:cs="Arial"/>
            <w:sz w:val="22"/>
            <w:szCs w:val="22"/>
          </w:rPr>
          <w:t>online probe selector tool</w:t>
        </w:r>
      </w:hyperlink>
      <w:r>
        <w:rPr>
          <w:rFonts w:ascii="Arial" w:hAnsi="Arial" w:cs="Arial"/>
          <w:sz w:val="22"/>
          <w:szCs w:val="22"/>
        </w:rPr>
        <w:t>. Customers can also access hundreds of</w:t>
      </w:r>
      <w:r w:rsidDel="00234828">
        <w:rPr>
          <w:rFonts w:ascii="Arial" w:hAnsi="Arial" w:cs="Arial"/>
          <w:sz w:val="22"/>
          <w:szCs w:val="22"/>
        </w:rPr>
        <w:t xml:space="preserve"> </w:t>
      </w:r>
      <w:r w:rsidRPr="00062D0E" w:rsidDel="00234828">
        <w:rPr>
          <w:rFonts w:ascii="Arial" w:hAnsi="Arial" w:cs="Arial"/>
          <w:sz w:val="22"/>
          <w:szCs w:val="22"/>
        </w:rPr>
        <w:t>the latest new products and popular best-sellers from market-leading supplier partners</w:t>
      </w:r>
      <w:r w:rsidDel="00234828">
        <w:rPr>
          <w:rFonts w:ascii="Arial" w:hAnsi="Arial" w:cs="Arial"/>
          <w:sz w:val="22"/>
          <w:szCs w:val="22"/>
        </w:rPr>
        <w:t>,</w:t>
      </w:r>
      <w:r w:rsidRPr="00062D0E" w:rsidDel="00234828">
        <w:rPr>
          <w:rFonts w:ascii="Arial" w:hAnsi="Arial" w:cs="Arial"/>
          <w:sz w:val="22"/>
          <w:szCs w:val="22"/>
        </w:rPr>
        <w:t xml:space="preserve"> such as Tektronix</w:t>
      </w:r>
      <w:r w:rsidDel="00234828">
        <w:rPr>
          <w:rFonts w:ascii="Arial" w:hAnsi="Arial" w:cs="Arial"/>
          <w:sz w:val="22"/>
          <w:szCs w:val="22"/>
        </w:rPr>
        <w:t xml:space="preserve">, </w:t>
      </w:r>
      <w:r w:rsidRPr="00866BA5" w:rsidDel="00234828">
        <w:rPr>
          <w:rFonts w:ascii="Arial" w:hAnsi="Arial" w:cs="Arial"/>
          <w:sz w:val="22"/>
          <w:szCs w:val="22"/>
        </w:rPr>
        <w:t xml:space="preserve">available for same day </w:t>
      </w:r>
      <w:r>
        <w:rPr>
          <w:rFonts w:ascii="Arial" w:hAnsi="Arial" w:cs="Arial"/>
          <w:sz w:val="22"/>
          <w:szCs w:val="22"/>
        </w:rPr>
        <w:t>de</w:t>
      </w:r>
      <w:r w:rsidDel="00234828">
        <w:rPr>
          <w:rFonts w:ascii="Arial" w:hAnsi="Arial" w:cs="Arial"/>
          <w:sz w:val="22"/>
          <w:szCs w:val="22"/>
        </w:rPr>
        <w:t xml:space="preserve">spatch. </w:t>
      </w:r>
      <w:r>
        <w:rPr>
          <w:rFonts w:ascii="Arial" w:hAnsi="Arial" w:cs="Arial"/>
          <w:sz w:val="22"/>
          <w:szCs w:val="22"/>
        </w:rPr>
        <w:t>In addition to the special launch promotion of up to 15% off whilst stocks last, Newark</w:t>
      </w:r>
      <w:r w:rsidDel="00234828">
        <w:rPr>
          <w:rFonts w:ascii="Arial" w:hAnsi="Arial" w:cs="Arial"/>
          <w:sz w:val="22"/>
          <w:szCs w:val="22"/>
        </w:rPr>
        <w:t xml:space="preserve"> is </w:t>
      </w:r>
      <w:r>
        <w:rPr>
          <w:rFonts w:ascii="Arial" w:hAnsi="Arial" w:cs="Arial"/>
          <w:sz w:val="22"/>
          <w:szCs w:val="22"/>
        </w:rPr>
        <w:t xml:space="preserve">currently </w:t>
      </w:r>
      <w:r w:rsidDel="00234828">
        <w:rPr>
          <w:rFonts w:ascii="Arial" w:hAnsi="Arial" w:cs="Arial"/>
          <w:sz w:val="22"/>
          <w:szCs w:val="22"/>
        </w:rPr>
        <w:t xml:space="preserve">featuring a number of </w:t>
      </w:r>
      <w:r w:rsidRPr="00062D0E" w:rsidDel="00234828">
        <w:rPr>
          <w:rFonts w:ascii="Arial" w:hAnsi="Arial" w:cs="Arial"/>
          <w:sz w:val="22"/>
          <w:szCs w:val="22"/>
        </w:rPr>
        <w:t>Spring Offers includ</w:t>
      </w:r>
      <w:r w:rsidDel="00234828">
        <w:rPr>
          <w:rFonts w:ascii="Arial" w:hAnsi="Arial" w:cs="Arial"/>
          <w:sz w:val="22"/>
          <w:szCs w:val="22"/>
        </w:rPr>
        <w:t xml:space="preserve">ing </w:t>
      </w:r>
      <w:r w:rsidRPr="00062D0E" w:rsidDel="00234828">
        <w:rPr>
          <w:rFonts w:ascii="Arial" w:hAnsi="Arial" w:cs="Arial"/>
          <w:sz w:val="22"/>
          <w:szCs w:val="22"/>
        </w:rPr>
        <w:t xml:space="preserve">up to 30% off a wide range of </w:t>
      </w:r>
      <w:r w:rsidDel="00234828">
        <w:rPr>
          <w:rFonts w:ascii="Arial" w:hAnsi="Arial" w:cs="Arial"/>
          <w:sz w:val="22"/>
          <w:szCs w:val="22"/>
        </w:rPr>
        <w:t xml:space="preserve">other </w:t>
      </w:r>
      <w:r>
        <w:rPr>
          <w:rFonts w:ascii="Arial" w:hAnsi="Arial" w:cs="Arial"/>
          <w:sz w:val="22"/>
          <w:szCs w:val="22"/>
        </w:rPr>
        <w:t>test and measurement</w:t>
      </w:r>
      <w:r w:rsidDel="00234828">
        <w:rPr>
          <w:rFonts w:ascii="Arial" w:hAnsi="Arial" w:cs="Arial"/>
          <w:sz w:val="22"/>
          <w:szCs w:val="22"/>
        </w:rPr>
        <w:t xml:space="preserve"> products. </w:t>
      </w:r>
    </w:p>
    <w:p w:rsidR="005A3417" w:rsidRDefault="005A3417" w:rsidP="005A3417">
      <w:pPr>
        <w:rPr>
          <w:rFonts w:ascii="Arial" w:hAnsi="Arial" w:cs="Arial"/>
          <w:sz w:val="22"/>
          <w:szCs w:val="22"/>
        </w:rPr>
      </w:pPr>
    </w:p>
    <w:p w:rsidR="005A3417" w:rsidRPr="00494FAA" w:rsidRDefault="005A3417" w:rsidP="005A3417">
      <w:pPr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</w:rPr>
        <w:t xml:space="preserve">The </w:t>
      </w:r>
      <w:bookmarkStart w:id="1" w:name="_Hlk34316191"/>
      <w:r w:rsidRPr="00062D0E">
        <w:rPr>
          <w:rFonts w:ascii="Arial" w:hAnsi="Arial" w:cs="Arial"/>
          <w:sz w:val="22"/>
          <w:szCs w:val="22"/>
        </w:rPr>
        <w:t>Tektronix</w:t>
      </w:r>
      <w:bookmarkEnd w:id="1"/>
      <w:r w:rsidRPr="00062D0E">
        <w:rPr>
          <w:rFonts w:ascii="Arial" w:hAnsi="Arial" w:cs="Arial"/>
          <w:sz w:val="22"/>
          <w:szCs w:val="22"/>
        </w:rPr>
        <w:t xml:space="preserve"> </w:t>
      </w:r>
      <w:bookmarkStart w:id="2" w:name="_Hlk34316356"/>
      <w:r w:rsidRPr="00062D0E">
        <w:rPr>
          <w:rFonts w:ascii="Arial" w:hAnsi="Arial" w:cs="Arial"/>
          <w:sz w:val="22"/>
          <w:szCs w:val="22"/>
        </w:rPr>
        <w:t>TBS2000</w:t>
      </w:r>
      <w:bookmarkEnd w:id="2"/>
      <w:r w:rsidRPr="00062D0E">
        <w:rPr>
          <w:rFonts w:ascii="Arial" w:hAnsi="Arial" w:cs="Arial"/>
          <w:sz w:val="22"/>
          <w:szCs w:val="22"/>
        </w:rPr>
        <w:t xml:space="preserve">B Digital Storage Oscilloscope </w:t>
      </w:r>
      <w:r w:rsidRPr="00494FAA">
        <w:rPr>
          <w:rFonts w:ascii="Arial" w:hAnsi="Arial" w:cs="Arial"/>
          <w:sz w:val="22"/>
          <w:szCs w:val="22"/>
        </w:rPr>
        <w:t xml:space="preserve">is available from </w:t>
      </w:r>
      <w:hyperlink r:id="rId9" w:history="1">
        <w:r w:rsidRPr="003802AB">
          <w:rPr>
            <w:rStyle w:val="Hyperlink"/>
            <w:rFonts w:ascii="Arial" w:hAnsi="Arial" w:cs="Arial"/>
            <w:sz w:val="22"/>
            <w:szCs w:val="22"/>
          </w:rPr>
          <w:t>Newark</w:t>
        </w:r>
      </w:hyperlink>
      <w:r>
        <w:rPr>
          <w:rFonts w:ascii="Arial" w:hAnsi="Arial" w:cs="Arial"/>
          <w:sz w:val="22"/>
          <w:szCs w:val="22"/>
        </w:rPr>
        <w:t xml:space="preserve"> in North America. </w:t>
      </w:r>
    </w:p>
    <w:p w:rsidR="005A3417" w:rsidRPr="00494FAA" w:rsidRDefault="005A3417" w:rsidP="005A3417">
      <w:pPr>
        <w:rPr>
          <w:rFonts w:ascii="Arial" w:hAnsi="Arial" w:cs="Arial"/>
          <w:sz w:val="22"/>
          <w:szCs w:val="22"/>
          <w:lang w:val="en-GB" w:eastAsia="en-GB"/>
        </w:rPr>
      </w:pPr>
    </w:p>
    <w:p w:rsidR="005A3417" w:rsidRPr="00BC3B24" w:rsidRDefault="005A3417" w:rsidP="005A3417">
      <w:pPr>
        <w:jc w:val="center"/>
        <w:rPr>
          <w:rFonts w:ascii="Arial" w:eastAsia="Calibri" w:hAnsi="Arial" w:cs="Arial"/>
          <w:b/>
          <w:lang w:val="en-GB"/>
        </w:rPr>
      </w:pPr>
      <w:r w:rsidRPr="00BC3B24">
        <w:rPr>
          <w:rFonts w:ascii="Arial" w:eastAsia="Calibri" w:hAnsi="Arial" w:cs="Arial"/>
          <w:b/>
          <w:lang w:val="en-GB"/>
        </w:rPr>
        <w:t>** Ends**</w:t>
      </w:r>
    </w:p>
    <w:p w:rsidR="005A3417" w:rsidRPr="00BC3B24" w:rsidRDefault="005A3417" w:rsidP="005A341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b/>
          <w:color w:val="000000"/>
          <w:u w:val="single"/>
          <w:lang w:val="en-GB"/>
        </w:rPr>
      </w:pPr>
    </w:p>
    <w:p w:rsidR="005A3417" w:rsidRPr="00864FC9" w:rsidRDefault="005A3417" w:rsidP="005A3417">
      <w:pPr>
        <w:pBdr>
          <w:top w:val="nil"/>
          <w:left w:val="nil"/>
          <w:bottom w:val="nil"/>
          <w:right w:val="nil"/>
          <w:between w:val="nil"/>
        </w:pBdr>
        <w:ind w:right="-1"/>
        <w:rPr>
          <w:rFonts w:ascii="Arial" w:eastAsia="Cambria" w:hAnsi="Arial" w:cs="Arial"/>
          <w:color w:val="000000"/>
          <w:u w:val="single"/>
          <w:lang w:val="en-GB"/>
        </w:rPr>
      </w:pPr>
      <w:r w:rsidRPr="00864FC9">
        <w:rPr>
          <w:rFonts w:ascii="Arial" w:eastAsia="Cambria" w:hAnsi="Arial" w:cs="Arial"/>
          <w:bCs/>
          <w:color w:val="000000"/>
          <w:lang w:val="en-GB"/>
        </w:rPr>
        <w:t xml:space="preserve"> </w:t>
      </w:r>
    </w:p>
    <w:p w:rsidR="005A3417" w:rsidRDefault="005A3417" w:rsidP="005A3417">
      <w:pPr>
        <w:spacing w:line="23" w:lineRule="atLeast"/>
        <w:jc w:val="center"/>
        <w:rPr>
          <w:rFonts w:ascii="Arial" w:eastAsia="Calibri" w:hAnsi="Arial" w:cs="Arial"/>
          <w:b/>
          <w:color w:val="000000"/>
          <w:sz w:val="20"/>
          <w:szCs w:val="20"/>
          <w:lang w:val="en-GB"/>
        </w:rPr>
      </w:pPr>
    </w:p>
    <w:p w:rsidR="005A3417" w:rsidRPr="00D43907" w:rsidRDefault="005A3417" w:rsidP="005A3417">
      <w:pPr>
        <w:spacing w:line="23" w:lineRule="atLeast"/>
        <w:jc w:val="center"/>
        <w:rPr>
          <w:rFonts w:ascii="Arial" w:eastAsia="Calibri" w:hAnsi="Arial" w:cs="Arial"/>
          <w:b/>
          <w:color w:val="000000"/>
          <w:sz w:val="20"/>
          <w:szCs w:val="20"/>
          <w:lang w:val="en-GB"/>
        </w:rPr>
      </w:pPr>
    </w:p>
    <w:p w:rsidR="003802AB" w:rsidRDefault="003802AB" w:rsidP="005A3417">
      <w:pPr>
        <w:rPr>
          <w:rFonts w:ascii="Arial" w:hAnsi="Arial" w:cs="Arial"/>
          <w:b/>
          <w:sz w:val="20"/>
          <w:szCs w:val="20"/>
          <w:u w:val="single"/>
        </w:rPr>
      </w:pPr>
    </w:p>
    <w:p w:rsidR="005A3417" w:rsidRPr="00D43907" w:rsidRDefault="005A3417" w:rsidP="005A3417">
      <w:pPr>
        <w:rPr>
          <w:rFonts w:ascii="Arial" w:hAnsi="Arial" w:cs="Arial"/>
          <w:b/>
          <w:sz w:val="20"/>
          <w:szCs w:val="20"/>
          <w:u w:val="single"/>
        </w:rPr>
      </w:pPr>
      <w:bookmarkStart w:id="3" w:name="_GoBack"/>
      <w:bookmarkEnd w:id="3"/>
      <w:r w:rsidRPr="00D43907">
        <w:rPr>
          <w:rFonts w:ascii="Arial" w:hAnsi="Arial" w:cs="Arial"/>
          <w:b/>
          <w:sz w:val="20"/>
          <w:szCs w:val="20"/>
          <w:u w:val="single"/>
        </w:rPr>
        <w:t>Notes to Editors</w:t>
      </w:r>
    </w:p>
    <w:p w:rsidR="005A3417" w:rsidRPr="00D43907" w:rsidRDefault="005A3417" w:rsidP="005A3417">
      <w:pPr>
        <w:rPr>
          <w:rFonts w:ascii="Arial" w:hAnsi="Arial" w:cs="Arial"/>
          <w:b/>
          <w:sz w:val="20"/>
          <w:szCs w:val="20"/>
        </w:rPr>
      </w:pPr>
    </w:p>
    <w:p w:rsidR="005A3417" w:rsidRPr="00D43907" w:rsidRDefault="005A3417" w:rsidP="005A3417">
      <w:pPr>
        <w:rPr>
          <w:rFonts w:ascii="Arial" w:hAnsi="Arial" w:cs="Arial"/>
          <w:sz w:val="20"/>
          <w:szCs w:val="20"/>
        </w:rPr>
      </w:pPr>
      <w:r w:rsidRPr="00D43907">
        <w:rPr>
          <w:rFonts w:ascii="Arial" w:hAnsi="Arial" w:cs="Arial"/>
          <w:sz w:val="20"/>
          <w:szCs w:val="20"/>
        </w:rPr>
        <w:t xml:space="preserve">You can find more details and supporting imagery related to this press release on our newsroom: </w:t>
      </w:r>
      <w:hyperlink r:id="rId10" w:history="1">
        <w:r w:rsidRPr="00D43907">
          <w:rPr>
            <w:rStyle w:val="Hyperlink"/>
            <w:rFonts w:ascii="Arial" w:hAnsi="Arial" w:cs="Arial"/>
            <w:sz w:val="20"/>
            <w:szCs w:val="20"/>
          </w:rPr>
          <w:t>www.element14.com/news</w:t>
        </w:r>
      </w:hyperlink>
    </w:p>
    <w:p w:rsidR="005A3417" w:rsidRPr="00D43907" w:rsidRDefault="005A3417" w:rsidP="005A3417">
      <w:pPr>
        <w:rPr>
          <w:rFonts w:ascii="Arial" w:hAnsi="Arial" w:cs="Arial"/>
          <w:sz w:val="20"/>
          <w:szCs w:val="20"/>
        </w:rPr>
      </w:pPr>
    </w:p>
    <w:p w:rsidR="005A3417" w:rsidRPr="00D43907" w:rsidRDefault="005A3417" w:rsidP="005A3417">
      <w:pPr>
        <w:rPr>
          <w:rFonts w:ascii="Arial" w:hAnsi="Arial" w:cs="Arial"/>
          <w:b/>
          <w:bCs/>
          <w:sz w:val="20"/>
          <w:szCs w:val="20"/>
        </w:rPr>
      </w:pPr>
      <w:r w:rsidRPr="00D43907">
        <w:rPr>
          <w:rFonts w:ascii="Arial" w:hAnsi="Arial" w:cs="Arial"/>
          <w:b/>
          <w:bCs/>
          <w:sz w:val="20"/>
          <w:szCs w:val="20"/>
        </w:rPr>
        <w:t>About us</w:t>
      </w:r>
    </w:p>
    <w:p w:rsidR="005A3417" w:rsidRPr="00D43907" w:rsidRDefault="005A3417" w:rsidP="005A3417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5A3417" w:rsidRPr="00D43907" w:rsidRDefault="003802AB" w:rsidP="005A3417">
      <w:pPr>
        <w:rPr>
          <w:rFonts w:ascii="Arial" w:hAnsi="Arial" w:cs="Arial"/>
          <w:sz w:val="20"/>
          <w:szCs w:val="20"/>
        </w:rPr>
      </w:pPr>
      <w:hyperlink r:id="rId11" w:history="1">
        <w:r w:rsidR="005A3417" w:rsidRPr="00D43907">
          <w:rPr>
            <w:rStyle w:val="Hyperlink"/>
            <w:rFonts w:ascii="Arial" w:hAnsi="Arial" w:cs="Arial"/>
            <w:sz w:val="20"/>
            <w:szCs w:val="20"/>
          </w:rPr>
          <w:t>Newark</w:t>
        </w:r>
      </w:hyperlink>
      <w:r w:rsidR="005A3417" w:rsidRPr="00D43907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is part of the </w:t>
      </w:r>
      <w:hyperlink r:id="rId12" w:history="1">
        <w:r w:rsidR="005A3417" w:rsidRPr="00D43907">
          <w:rPr>
            <w:rStyle w:val="Hyperlink"/>
            <w:rFonts w:ascii="Arial" w:hAnsi="Arial" w:cs="Arial"/>
            <w:sz w:val="20"/>
            <w:szCs w:val="20"/>
          </w:rPr>
          <w:t>Farnell</w:t>
        </w:r>
      </w:hyperlink>
      <w:r w:rsidR="005A3417" w:rsidRPr="00D43907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group of businesses,</w:t>
      </w:r>
      <w:r w:rsidR="005A3417" w:rsidRPr="00D43907">
        <w:rPr>
          <w:rStyle w:val="Hyperlink"/>
          <w:rFonts w:ascii="Arial" w:hAnsi="Arial" w:cs="Arial"/>
          <w:color w:val="auto"/>
          <w:sz w:val="20"/>
          <w:szCs w:val="20"/>
        </w:rPr>
        <w:t xml:space="preserve"> </w:t>
      </w:r>
      <w:r w:rsidR="005A3417" w:rsidRPr="00D43907">
        <w:rPr>
          <w:rFonts w:ascii="Arial" w:hAnsi="Arial" w:cs="Arial"/>
          <w:sz w:val="20"/>
          <w:szCs w:val="20"/>
        </w:rPr>
        <w:t>a global technology leader with over 80 years in the high service distribution of technology products and solutions for electronic system design, productio</w:t>
      </w:r>
      <w:r w:rsidR="005A3417">
        <w:rPr>
          <w:rFonts w:ascii="Arial" w:hAnsi="Arial" w:cs="Arial"/>
          <w:sz w:val="20"/>
          <w:szCs w:val="20"/>
        </w:rPr>
        <w:t>n, maintenance and repair.</w:t>
      </w:r>
      <w:r w:rsidR="005A3417" w:rsidRPr="00D43907">
        <w:rPr>
          <w:rFonts w:ascii="Arial" w:hAnsi="Arial" w:cs="Arial"/>
          <w:sz w:val="20"/>
          <w:szCs w:val="20"/>
        </w:rPr>
        <w:t xml:space="preserve"> Farnell uses this experience to support its broad customer base, from hobbyists to engineers, maintenance engineers and buyers as ‘The Development Distributor’, working with leading brands and start-ups to develop new products for market, and supporting the industry as it seeks to develop the current and next generation of engineers.  </w:t>
      </w:r>
    </w:p>
    <w:p w:rsidR="005A3417" w:rsidRPr="00D43907" w:rsidRDefault="005A3417" w:rsidP="005A3417">
      <w:pPr>
        <w:rPr>
          <w:rFonts w:ascii="Arial" w:hAnsi="Arial" w:cs="Arial"/>
          <w:sz w:val="20"/>
          <w:szCs w:val="20"/>
        </w:rPr>
      </w:pPr>
    </w:p>
    <w:p w:rsidR="005A3417" w:rsidRPr="00D43907" w:rsidRDefault="005A3417" w:rsidP="005A3417">
      <w:pPr>
        <w:rPr>
          <w:rFonts w:ascii="Arial" w:hAnsi="Arial" w:cs="Arial"/>
          <w:sz w:val="20"/>
          <w:szCs w:val="20"/>
        </w:rPr>
      </w:pPr>
      <w:r w:rsidRPr="00D43907">
        <w:rPr>
          <w:rFonts w:ascii="Arial" w:hAnsi="Arial" w:cs="Arial"/>
          <w:sz w:val="20"/>
          <w:szCs w:val="20"/>
        </w:rPr>
        <w:t xml:space="preserve">Farnell trades as </w:t>
      </w:r>
      <w:hyperlink r:id="rId13" w:history="1">
        <w:r w:rsidRPr="00D43907">
          <w:rPr>
            <w:rStyle w:val="Hyperlink"/>
            <w:rFonts w:ascii="Arial" w:hAnsi="Arial" w:cs="Arial"/>
            <w:sz w:val="20"/>
            <w:szCs w:val="20"/>
          </w:rPr>
          <w:t>Farnell</w:t>
        </w:r>
      </w:hyperlink>
      <w:r w:rsidRPr="00D43907">
        <w:rPr>
          <w:rFonts w:ascii="Arial" w:hAnsi="Arial" w:cs="Arial"/>
          <w:sz w:val="20"/>
          <w:szCs w:val="20"/>
        </w:rPr>
        <w:t xml:space="preserve"> in Europe; </w:t>
      </w:r>
      <w:hyperlink r:id="rId14" w:history="1">
        <w:r w:rsidRPr="00D43907">
          <w:rPr>
            <w:rStyle w:val="Hyperlink"/>
            <w:rFonts w:ascii="Arial" w:hAnsi="Arial" w:cs="Arial"/>
            <w:sz w:val="20"/>
            <w:szCs w:val="20"/>
          </w:rPr>
          <w:t>Newark</w:t>
        </w:r>
      </w:hyperlink>
      <w:r w:rsidRPr="00D43907">
        <w:rPr>
          <w:rFonts w:ascii="Arial" w:hAnsi="Arial" w:cs="Arial"/>
          <w:sz w:val="20"/>
          <w:szCs w:val="20"/>
        </w:rPr>
        <w:t xml:space="preserve"> in North America; and </w:t>
      </w:r>
      <w:hyperlink r:id="rId15" w:history="1">
        <w:r w:rsidRPr="00D43907">
          <w:rPr>
            <w:rStyle w:val="Hyperlink"/>
            <w:rFonts w:ascii="Arial" w:hAnsi="Arial" w:cs="Arial"/>
            <w:sz w:val="20"/>
            <w:szCs w:val="20"/>
          </w:rPr>
          <w:t>element14</w:t>
        </w:r>
      </w:hyperlink>
      <w:r w:rsidRPr="00D43907">
        <w:rPr>
          <w:rFonts w:ascii="Arial" w:hAnsi="Arial" w:cs="Arial"/>
          <w:sz w:val="20"/>
          <w:szCs w:val="20"/>
        </w:rPr>
        <w:t xml:space="preserve"> throughout Asia Pacific. Farnell sells direct to consumers through a network of resellers and its </w:t>
      </w:r>
      <w:hyperlink r:id="rId16" w:history="1">
        <w:r w:rsidRPr="00D43907">
          <w:rPr>
            <w:rStyle w:val="Hyperlink"/>
            <w:rFonts w:ascii="Arial" w:hAnsi="Arial" w:cs="Arial"/>
            <w:sz w:val="20"/>
            <w:szCs w:val="20"/>
          </w:rPr>
          <w:t>CPC</w:t>
        </w:r>
      </w:hyperlink>
      <w:r w:rsidRPr="00D43907">
        <w:rPr>
          <w:rFonts w:ascii="Arial" w:hAnsi="Arial" w:cs="Arial"/>
          <w:sz w:val="20"/>
          <w:szCs w:val="20"/>
        </w:rPr>
        <w:t xml:space="preserve"> business in the UK.</w:t>
      </w:r>
    </w:p>
    <w:p w:rsidR="005A3417" w:rsidRPr="00D43907" w:rsidRDefault="005A3417" w:rsidP="005A3417">
      <w:pPr>
        <w:rPr>
          <w:rFonts w:ascii="Arial" w:hAnsi="Arial" w:cs="Arial"/>
          <w:sz w:val="20"/>
          <w:szCs w:val="20"/>
        </w:rPr>
      </w:pPr>
    </w:p>
    <w:p w:rsidR="005A3417" w:rsidRPr="00D43907" w:rsidRDefault="005A3417" w:rsidP="005A3417">
      <w:pPr>
        <w:rPr>
          <w:rFonts w:ascii="Arial" w:hAnsi="Arial" w:cs="Arial"/>
          <w:sz w:val="20"/>
          <w:szCs w:val="20"/>
        </w:rPr>
      </w:pPr>
      <w:r w:rsidRPr="00D43907">
        <w:rPr>
          <w:rFonts w:ascii="Arial" w:hAnsi="Arial" w:cs="Arial"/>
          <w:sz w:val="20"/>
          <w:szCs w:val="20"/>
        </w:rPr>
        <w:t xml:space="preserve">Farnell is a business unit of </w:t>
      </w:r>
      <w:hyperlink r:id="rId17" w:history="1">
        <w:r w:rsidRPr="00D43907">
          <w:rPr>
            <w:rStyle w:val="Hyperlink"/>
            <w:rFonts w:ascii="Arial" w:hAnsi="Arial" w:cs="Arial"/>
            <w:sz w:val="20"/>
            <w:szCs w:val="20"/>
          </w:rPr>
          <w:t>Avnet</w:t>
        </w:r>
      </w:hyperlink>
      <w:r w:rsidRPr="00D43907">
        <w:rPr>
          <w:rFonts w:ascii="Arial" w:hAnsi="Arial" w:cs="Arial"/>
          <w:sz w:val="20"/>
          <w:szCs w:val="20"/>
        </w:rPr>
        <w:t>, Inc. (</w:t>
      </w:r>
      <w:proofErr w:type="gramStart"/>
      <w:r w:rsidRPr="00D43907">
        <w:rPr>
          <w:rFonts w:ascii="Arial" w:hAnsi="Arial" w:cs="Arial"/>
          <w:sz w:val="20"/>
          <w:szCs w:val="20"/>
        </w:rPr>
        <w:t>Nasdaq</w:t>
      </w:r>
      <w:proofErr w:type="gramEnd"/>
      <w:r w:rsidRPr="00D43907">
        <w:rPr>
          <w:rFonts w:ascii="Arial" w:hAnsi="Arial" w:cs="Arial"/>
          <w:sz w:val="20"/>
          <w:szCs w:val="20"/>
        </w:rPr>
        <w:t xml:space="preserve">: </w:t>
      </w:r>
      <w:hyperlink r:id="rId18" w:history="1">
        <w:r w:rsidRPr="00D43907">
          <w:rPr>
            <w:rStyle w:val="Hyperlink"/>
            <w:rFonts w:ascii="Arial" w:hAnsi="Arial" w:cs="Arial"/>
            <w:sz w:val="20"/>
            <w:szCs w:val="20"/>
          </w:rPr>
          <w:t>AVT</w:t>
        </w:r>
      </w:hyperlink>
      <w:r w:rsidRPr="00D43907">
        <w:rPr>
          <w:rFonts w:ascii="Arial" w:hAnsi="Arial" w:cs="Arial"/>
          <w:sz w:val="20"/>
          <w:szCs w:val="20"/>
        </w:rPr>
        <w:t>).</w:t>
      </w:r>
      <w:r w:rsidRPr="00D43907">
        <w:rPr>
          <w:rFonts w:ascii="Arial" w:hAnsi="Arial" w:cs="Arial"/>
          <w:sz w:val="20"/>
          <w:szCs w:val="20"/>
          <w:shd w:val="clear" w:color="auto" w:fill="FFFFFF"/>
        </w:rPr>
        <w:t xml:space="preserve"> Avnet is a global technology solutions provider with an extensive ecosystem that delivers design, product, marketing and supply chain expertise for customers at every stage of the product lifecycle. </w:t>
      </w:r>
    </w:p>
    <w:p w:rsidR="005A3417" w:rsidRPr="00D43907" w:rsidRDefault="005A3417" w:rsidP="005A3417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5A3417" w:rsidRPr="00D43907" w:rsidRDefault="005A3417" w:rsidP="005A3417">
      <w:pPr>
        <w:shd w:val="clear" w:color="auto" w:fill="FFFFFF"/>
        <w:rPr>
          <w:rFonts w:ascii="Arial" w:hAnsi="Arial" w:cs="Arial"/>
          <w:sz w:val="20"/>
          <w:szCs w:val="20"/>
        </w:rPr>
      </w:pPr>
      <w:r w:rsidRPr="00D43907">
        <w:rPr>
          <w:rFonts w:ascii="Arial" w:hAnsi="Arial" w:cs="Arial"/>
          <w:sz w:val="20"/>
          <w:szCs w:val="20"/>
        </w:rPr>
        <w:t xml:space="preserve">For more information, visit our websites at </w:t>
      </w:r>
      <w:hyperlink r:id="rId19" w:history="1">
        <w:r>
          <w:rPr>
            <w:rStyle w:val="Hyperlink"/>
            <w:rFonts w:ascii="Arial" w:hAnsi="Arial" w:cs="Arial"/>
            <w:sz w:val="20"/>
            <w:szCs w:val="20"/>
          </w:rPr>
          <w:t>http://www.farnell.com/corporate</w:t>
        </w:r>
      </w:hyperlink>
      <w:r w:rsidRPr="00D43907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and </w:t>
      </w:r>
      <w:hyperlink r:id="rId20" w:history="1">
        <w:r w:rsidRPr="00D43907">
          <w:rPr>
            <w:rStyle w:val="Hyperlink"/>
            <w:rFonts w:ascii="Arial" w:hAnsi="Arial" w:cs="Arial"/>
            <w:sz w:val="20"/>
            <w:szCs w:val="20"/>
          </w:rPr>
          <w:t>https://www.avnet.com</w:t>
        </w:r>
      </w:hyperlink>
    </w:p>
    <w:p w:rsidR="005A3417" w:rsidRPr="00D43907" w:rsidRDefault="005A3417" w:rsidP="005A3417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5A3417" w:rsidRPr="00D43907" w:rsidRDefault="005A3417" w:rsidP="005A3417">
      <w:pPr>
        <w:rPr>
          <w:rFonts w:ascii="Arial" w:hAnsi="Arial" w:cs="Arial"/>
          <w:b/>
          <w:bCs/>
          <w:sz w:val="20"/>
          <w:szCs w:val="20"/>
        </w:rPr>
      </w:pPr>
      <w:r w:rsidRPr="00D43907">
        <w:rPr>
          <w:rFonts w:ascii="Arial" w:hAnsi="Arial" w:cs="Arial"/>
          <w:b/>
          <w:bCs/>
          <w:sz w:val="20"/>
          <w:szCs w:val="20"/>
        </w:rPr>
        <w:t>Contacts for journalists:</w:t>
      </w:r>
    </w:p>
    <w:p w:rsidR="005A3417" w:rsidRPr="00D43907" w:rsidRDefault="005A3417" w:rsidP="005A3417">
      <w:pPr>
        <w:rPr>
          <w:rFonts w:ascii="Arial" w:hAnsi="Arial" w:cs="Arial"/>
          <w:b/>
          <w:bCs/>
          <w:sz w:val="20"/>
          <w:szCs w:val="20"/>
        </w:rPr>
      </w:pPr>
    </w:p>
    <w:p w:rsidR="005A3417" w:rsidRPr="00D43907" w:rsidRDefault="005A3417" w:rsidP="005A3417">
      <w:pPr>
        <w:rPr>
          <w:rFonts w:ascii="Arial" w:hAnsi="Arial" w:cs="Arial"/>
          <w:b/>
          <w:bCs/>
          <w:sz w:val="20"/>
          <w:szCs w:val="20"/>
        </w:rPr>
      </w:pPr>
      <w:proofErr w:type="spellStart"/>
      <w:r w:rsidRPr="00D43907">
        <w:rPr>
          <w:rFonts w:ascii="Arial" w:hAnsi="Arial" w:cs="Arial"/>
          <w:b/>
          <w:sz w:val="20"/>
          <w:szCs w:val="20"/>
        </w:rPr>
        <w:t>Brodeur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</w:t>
      </w:r>
    </w:p>
    <w:p w:rsidR="005A3417" w:rsidRPr="00D43907" w:rsidRDefault="005A3417" w:rsidP="005A3417">
      <w:pPr>
        <w:rPr>
          <w:rFonts w:ascii="Arial" w:hAnsi="Arial" w:cs="Arial"/>
          <w:b/>
          <w:sz w:val="20"/>
          <w:szCs w:val="20"/>
        </w:rPr>
      </w:pPr>
      <w:r w:rsidRPr="00D43907">
        <w:rPr>
          <w:rFonts w:ascii="Arial" w:hAnsi="Arial" w:cs="Arial"/>
          <w:b/>
          <w:sz w:val="20"/>
          <w:szCs w:val="20"/>
        </w:rPr>
        <w:t>Jamie Ernst</w:t>
      </w:r>
    </w:p>
    <w:p w:rsidR="005A3417" w:rsidRPr="00D43907" w:rsidRDefault="005A3417" w:rsidP="005A3417">
      <w:pPr>
        <w:rPr>
          <w:rFonts w:ascii="Arial" w:hAnsi="Arial" w:cs="Arial"/>
          <w:sz w:val="20"/>
          <w:szCs w:val="20"/>
        </w:rPr>
      </w:pPr>
      <w:r w:rsidRPr="00D43907">
        <w:rPr>
          <w:rFonts w:ascii="Arial" w:hAnsi="Arial" w:cs="Arial"/>
          <w:sz w:val="20"/>
          <w:szCs w:val="20"/>
        </w:rPr>
        <w:t>Tel: (+1) 480.308.0286</w:t>
      </w:r>
    </w:p>
    <w:p w:rsidR="005A3417" w:rsidRPr="00D43907" w:rsidRDefault="005A3417" w:rsidP="005A3417">
      <w:pPr>
        <w:rPr>
          <w:rFonts w:ascii="Arial" w:hAnsi="Arial" w:cs="Arial"/>
          <w:color w:val="333333"/>
          <w:sz w:val="20"/>
          <w:szCs w:val="20"/>
        </w:rPr>
      </w:pPr>
      <w:r w:rsidRPr="00D43907">
        <w:rPr>
          <w:rFonts w:ascii="Arial" w:hAnsi="Arial" w:cs="Arial"/>
          <w:sz w:val="20"/>
          <w:szCs w:val="20"/>
        </w:rPr>
        <w:t xml:space="preserve">Email: </w:t>
      </w:r>
      <w:hyperlink r:id="rId21" w:history="1">
        <w:r w:rsidRPr="00D43907">
          <w:rPr>
            <w:rStyle w:val="Hyperlink"/>
            <w:rFonts w:ascii="Arial" w:hAnsi="Arial" w:cs="Arial"/>
            <w:sz w:val="20"/>
            <w:szCs w:val="20"/>
          </w:rPr>
          <w:t>jernst@brodeur.com</w:t>
        </w:r>
      </w:hyperlink>
      <w:r w:rsidRPr="00D43907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5A3417" w:rsidRPr="00D43907" w:rsidRDefault="005A3417" w:rsidP="005A3417">
      <w:pPr>
        <w:rPr>
          <w:rFonts w:ascii="Arial" w:hAnsi="Arial" w:cs="Arial"/>
          <w:b/>
          <w:bCs/>
          <w:sz w:val="20"/>
          <w:szCs w:val="20"/>
        </w:rPr>
      </w:pPr>
    </w:p>
    <w:p w:rsidR="005A3417" w:rsidRPr="00D43907" w:rsidRDefault="005A3417" w:rsidP="005A3417">
      <w:pPr>
        <w:rPr>
          <w:rFonts w:ascii="Arial" w:hAnsi="Arial" w:cs="Arial"/>
          <w:b/>
          <w:bCs/>
          <w:sz w:val="20"/>
          <w:szCs w:val="20"/>
        </w:rPr>
      </w:pPr>
      <w:r w:rsidRPr="00D43907">
        <w:rPr>
          <w:rFonts w:ascii="Arial" w:hAnsi="Arial" w:cs="Arial"/>
          <w:b/>
          <w:bCs/>
          <w:sz w:val="20"/>
          <w:szCs w:val="20"/>
        </w:rPr>
        <w:t>Farnell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5A3417" w:rsidRDefault="005A3417" w:rsidP="005A341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Holly Smart</w:t>
      </w:r>
    </w:p>
    <w:p w:rsidR="005A3417" w:rsidRPr="00D43907" w:rsidRDefault="005A3417" w:rsidP="005A3417">
      <w:pPr>
        <w:rPr>
          <w:rFonts w:ascii="Arial" w:hAnsi="Arial" w:cs="Arial"/>
          <w:b/>
          <w:bCs/>
          <w:sz w:val="20"/>
          <w:szCs w:val="20"/>
        </w:rPr>
      </w:pPr>
      <w:r w:rsidRPr="00D43907">
        <w:rPr>
          <w:rFonts w:ascii="Arial" w:hAnsi="Arial" w:cs="Arial"/>
          <w:b/>
          <w:bCs/>
          <w:sz w:val="20"/>
          <w:szCs w:val="20"/>
        </w:rPr>
        <w:t>Head of PR and External Communications</w:t>
      </w:r>
    </w:p>
    <w:p w:rsidR="005A3417" w:rsidRPr="00D43907" w:rsidRDefault="005A3417" w:rsidP="005A3417">
      <w:pPr>
        <w:rPr>
          <w:rFonts w:ascii="Arial" w:hAnsi="Arial" w:cs="Arial"/>
          <w:bCs/>
          <w:sz w:val="20"/>
          <w:szCs w:val="20"/>
        </w:rPr>
      </w:pPr>
      <w:r w:rsidRPr="00D43907">
        <w:rPr>
          <w:rFonts w:ascii="Arial" w:hAnsi="Arial" w:cs="Arial"/>
          <w:bCs/>
          <w:sz w:val="20"/>
          <w:szCs w:val="20"/>
        </w:rPr>
        <w:t>Tel: +44 113 3485188</w:t>
      </w:r>
    </w:p>
    <w:p w:rsidR="005A3417" w:rsidRDefault="005A3417" w:rsidP="005A3417">
      <w:pPr>
        <w:rPr>
          <w:rFonts w:ascii="Arial" w:hAnsi="Arial" w:cs="Arial"/>
          <w:bCs/>
          <w:sz w:val="20"/>
          <w:szCs w:val="20"/>
        </w:rPr>
      </w:pPr>
      <w:r w:rsidRPr="00D43907">
        <w:rPr>
          <w:rFonts w:ascii="Arial" w:hAnsi="Arial" w:cs="Arial"/>
          <w:bCs/>
          <w:sz w:val="20"/>
          <w:szCs w:val="20"/>
        </w:rPr>
        <w:t>Email:</w:t>
      </w:r>
      <w:r w:rsidRPr="00D43907">
        <w:rPr>
          <w:rFonts w:ascii="Arial" w:hAnsi="Arial" w:cs="Arial"/>
          <w:b/>
          <w:bCs/>
          <w:sz w:val="20"/>
          <w:szCs w:val="20"/>
        </w:rPr>
        <w:t> </w:t>
      </w:r>
      <w:hyperlink r:id="rId22" w:history="1">
        <w:r>
          <w:rPr>
            <w:rStyle w:val="Hyperlink"/>
            <w:rFonts w:ascii="Arial" w:hAnsi="Arial" w:cs="Arial"/>
            <w:sz w:val="20"/>
            <w:szCs w:val="20"/>
          </w:rPr>
          <w:t>hsmart@farnell.com</w:t>
        </w:r>
      </w:hyperlink>
      <w:r w:rsidRPr="00F41506">
        <w:rPr>
          <w:rFonts w:ascii="Arial" w:hAnsi="Arial" w:cs="Arial"/>
          <w:bCs/>
          <w:sz w:val="20"/>
          <w:szCs w:val="20"/>
        </w:rPr>
        <w:t xml:space="preserve">  </w:t>
      </w:r>
    </w:p>
    <w:p w:rsidR="005A3417" w:rsidRDefault="005A3417" w:rsidP="005A3417">
      <w:pPr>
        <w:rPr>
          <w:rFonts w:ascii="Arial" w:hAnsi="Arial" w:cs="Arial"/>
          <w:bCs/>
          <w:sz w:val="20"/>
          <w:szCs w:val="20"/>
        </w:rPr>
      </w:pPr>
    </w:p>
    <w:p w:rsidR="005A3417" w:rsidRDefault="005A3417" w:rsidP="005A341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Lewis Spencer-Witcomb</w:t>
      </w:r>
    </w:p>
    <w:p w:rsidR="005A3417" w:rsidRPr="00D43907" w:rsidRDefault="005A3417" w:rsidP="005A341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 Executive</w:t>
      </w:r>
    </w:p>
    <w:p w:rsidR="005A3417" w:rsidRPr="00D43907" w:rsidRDefault="005A3417" w:rsidP="005A3417">
      <w:pPr>
        <w:rPr>
          <w:rFonts w:ascii="Arial" w:hAnsi="Arial" w:cs="Arial"/>
          <w:bCs/>
          <w:sz w:val="20"/>
          <w:szCs w:val="20"/>
        </w:rPr>
      </w:pPr>
      <w:r w:rsidRPr="00D43907">
        <w:rPr>
          <w:rFonts w:ascii="Arial" w:hAnsi="Arial" w:cs="Arial"/>
          <w:bCs/>
          <w:sz w:val="20"/>
          <w:szCs w:val="20"/>
        </w:rPr>
        <w:t xml:space="preserve">Tel: </w:t>
      </w:r>
      <w:r w:rsidRPr="00467876">
        <w:rPr>
          <w:rFonts w:ascii="Arial" w:hAnsi="Arial" w:cs="Arial"/>
          <w:bCs/>
          <w:sz w:val="20"/>
          <w:szCs w:val="20"/>
        </w:rPr>
        <w:t>+44 113 348 4756</w:t>
      </w:r>
    </w:p>
    <w:p w:rsidR="005A3417" w:rsidRPr="00467876" w:rsidRDefault="005A3417" w:rsidP="005A3417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D43907">
        <w:rPr>
          <w:rFonts w:ascii="Arial" w:hAnsi="Arial" w:cs="Arial"/>
          <w:bCs/>
          <w:sz w:val="20"/>
          <w:szCs w:val="20"/>
        </w:rPr>
        <w:t>Email:</w:t>
      </w:r>
      <w:r w:rsidRPr="00D43907">
        <w:rPr>
          <w:rFonts w:ascii="Arial" w:hAnsi="Arial" w:cs="Arial"/>
          <w:b/>
          <w:bCs/>
          <w:sz w:val="20"/>
          <w:szCs w:val="20"/>
        </w:rPr>
        <w:t> </w:t>
      </w:r>
      <w:hyperlink r:id="rId23" w:history="1">
        <w:r>
          <w:rPr>
            <w:rStyle w:val="Hyperlink"/>
            <w:rFonts w:ascii="Arial" w:hAnsi="Arial" w:cs="Arial"/>
            <w:sz w:val="20"/>
            <w:szCs w:val="20"/>
          </w:rPr>
          <w:t>lspencer-witcomb@farnell.com</w:t>
        </w:r>
      </w:hyperlink>
      <w:r w:rsidRPr="00F41506">
        <w:rPr>
          <w:rFonts w:ascii="Arial" w:hAnsi="Arial" w:cs="Arial"/>
          <w:bCs/>
          <w:sz w:val="20"/>
          <w:szCs w:val="20"/>
        </w:rPr>
        <w:t xml:space="preserve">  </w:t>
      </w:r>
    </w:p>
    <w:p w:rsidR="005A3417" w:rsidRPr="00F41506" w:rsidRDefault="005A3417" w:rsidP="005A3417">
      <w:pPr>
        <w:rPr>
          <w:rFonts w:ascii="Arial" w:hAnsi="Arial" w:cs="Arial"/>
          <w:b/>
          <w:bCs/>
          <w:sz w:val="20"/>
          <w:szCs w:val="20"/>
        </w:rPr>
      </w:pPr>
    </w:p>
    <w:p w:rsidR="005A3417" w:rsidRPr="00F41506" w:rsidRDefault="005A3417" w:rsidP="005A3417">
      <w:pPr>
        <w:rPr>
          <w:rFonts w:ascii="Arial" w:hAnsi="Arial" w:cs="Arial"/>
          <w:b/>
          <w:bCs/>
          <w:sz w:val="20"/>
          <w:szCs w:val="20"/>
        </w:rPr>
      </w:pPr>
    </w:p>
    <w:p w:rsidR="005A3417" w:rsidRDefault="005A3417" w:rsidP="005A3417"/>
    <w:p w:rsidR="00BC3C11" w:rsidRDefault="00BC3C11"/>
    <w:sectPr w:rsidR="00BC3C11" w:rsidSect="00467876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720" w:right="720" w:bottom="720" w:left="720" w:header="8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802AB">
      <w:r>
        <w:separator/>
      </w:r>
    </w:p>
  </w:endnote>
  <w:endnote w:type="continuationSeparator" w:id="0">
    <w:p w:rsidR="00000000" w:rsidRDefault="00380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1A2" w:rsidRDefault="003802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1A2" w:rsidRDefault="003802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1A2" w:rsidRDefault="003802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802AB">
      <w:r>
        <w:separator/>
      </w:r>
    </w:p>
  </w:footnote>
  <w:footnote w:type="continuationSeparator" w:id="0">
    <w:p w:rsidR="00000000" w:rsidRDefault="00380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1A2" w:rsidRDefault="003802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876" w:rsidRDefault="005A3417" w:rsidP="009711A2">
    <w:pPr>
      <w:tabs>
        <w:tab w:val="center" w:pos="2052"/>
      </w:tabs>
      <w:rPr>
        <w:noProof/>
        <w:lang w:eastAsia="en-GB"/>
      </w:rPr>
    </w:pPr>
    <w:r w:rsidRPr="0055190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FFA282E" wp14:editId="3AE47A2D">
          <wp:simplePos x="0" y="0"/>
          <wp:positionH relativeFrom="margin">
            <wp:posOffset>4873625</wp:posOffset>
          </wp:positionH>
          <wp:positionV relativeFrom="paragraph">
            <wp:posOffset>-328295</wp:posOffset>
          </wp:positionV>
          <wp:extent cx="1984375" cy="679450"/>
          <wp:effectExtent l="0" t="0" r="0" b="6350"/>
          <wp:wrapSquare wrapText="bothSides"/>
          <wp:docPr id="2" name="Picture 2" descr="C:\Users\LSpencerWitcomb\Documents\Lewis Docs\Re-Brand Templates\Logos\Newark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Newark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3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58AA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6A2FE7C9" wp14:editId="4ADC093F">
          <wp:simplePos x="0" y="0"/>
          <wp:positionH relativeFrom="margin">
            <wp:posOffset>0</wp:posOffset>
          </wp:positionH>
          <wp:positionV relativeFrom="paragraph">
            <wp:posOffset>-349250</wp:posOffset>
          </wp:positionV>
          <wp:extent cx="2032000" cy="685165"/>
          <wp:effectExtent l="0" t="0" r="6350" b="635"/>
          <wp:wrapSquare wrapText="bothSides"/>
          <wp:docPr id="1" name="Picture 1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ab/>
    </w:r>
  </w:p>
  <w:p w:rsidR="006828E4" w:rsidRDefault="003802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1A2" w:rsidRDefault="003802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13A90"/>
    <w:multiLevelType w:val="hybridMultilevel"/>
    <w:tmpl w:val="B82AD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17"/>
    <w:rsid w:val="003802AB"/>
    <w:rsid w:val="005A3417"/>
    <w:rsid w:val="00BC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474833-10CD-4FC8-8FE6-10962E10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4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41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rsid w:val="005A341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A34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41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A3417"/>
    <w:pPr>
      <w:suppressAutoHyphens/>
      <w:spacing w:after="200" w:line="276" w:lineRule="auto"/>
      <w:ind w:left="720"/>
      <w:contextualSpacing/>
    </w:pPr>
    <w:rPr>
      <w:rFonts w:eastAsia="Arial Unicode MS" w:cs="Arial Unicode MS"/>
      <w:kern w:val="1"/>
      <w:sz w:val="20"/>
      <w:szCs w:val="20"/>
      <w:lang w:eastAsia="hi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5A34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ark.com/tektronix-probe-selector" TargetMode="External"/><Relationship Id="rId13" Type="http://schemas.openxmlformats.org/officeDocument/2006/relationships/hyperlink" Target="http://uk.farnell.com/" TargetMode="External"/><Relationship Id="rId18" Type="http://schemas.openxmlformats.org/officeDocument/2006/relationships/hyperlink" Target="https://ir.avnet.com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jernst@brodeur.com" TargetMode="External"/><Relationship Id="rId7" Type="http://schemas.openxmlformats.org/officeDocument/2006/relationships/hyperlink" Target="http://www.farnell.com/" TargetMode="External"/><Relationship Id="rId12" Type="http://schemas.openxmlformats.org/officeDocument/2006/relationships/hyperlink" Target="http://www.farnell.com/corporate" TargetMode="External"/><Relationship Id="rId17" Type="http://schemas.openxmlformats.org/officeDocument/2006/relationships/hyperlink" Target="https://www.avnet.com/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cpc.farnell.com/" TargetMode="External"/><Relationship Id="rId20" Type="http://schemas.openxmlformats.org/officeDocument/2006/relationships/hyperlink" Target="https://www.avnet.com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wark.com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sg.element14.com/" TargetMode="External"/><Relationship Id="rId23" Type="http://schemas.openxmlformats.org/officeDocument/2006/relationships/hyperlink" Target="mailto:lspencer-witcomb@farnell.com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element14.com/news" TargetMode="External"/><Relationship Id="rId19" Type="http://schemas.openxmlformats.org/officeDocument/2006/relationships/hyperlink" Target="http://www.farnell.com/corporat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newark.com/tektronix-oscilloscope-tbs2000b" TargetMode="External"/><Relationship Id="rId14" Type="http://schemas.openxmlformats.org/officeDocument/2006/relationships/hyperlink" Target="http://www.newark.com/" TargetMode="External"/><Relationship Id="rId22" Type="http://schemas.openxmlformats.org/officeDocument/2006/relationships/hyperlink" Target="mailto:hsmart@farnell.com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2</cp:revision>
  <dcterms:created xsi:type="dcterms:W3CDTF">2020-04-07T14:06:00Z</dcterms:created>
  <dcterms:modified xsi:type="dcterms:W3CDTF">2020-04-29T14:33:00Z</dcterms:modified>
</cp:coreProperties>
</file>