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4F5" w:rsidRPr="007054F5" w:rsidRDefault="007054F5" w:rsidP="007054F5">
      <w:pPr>
        <w:spacing w:line="276" w:lineRule="auto"/>
        <w:jc w:val="center"/>
        <w:rPr>
          <w:rFonts w:ascii="Arial" w:hAnsi="Arial" w:cs="Arial"/>
          <w:b/>
          <w:bCs/>
          <w:sz w:val="26"/>
          <w:szCs w:val="26"/>
          <w:lang w:eastAsia="en-GB"/>
        </w:rPr>
      </w:pPr>
      <w:r w:rsidRPr="007054F5">
        <w:rPr>
          <w:rFonts w:ascii="Arial" w:hAnsi="Arial" w:cs="Arial"/>
          <w:b/>
          <w:bCs/>
          <w:sz w:val="26"/>
          <w:szCs w:val="26"/>
          <w:lang w:eastAsia="en-GB"/>
        </w:rPr>
        <w:t>Newark</w:t>
      </w:r>
      <w:r w:rsidRPr="007054F5">
        <w:rPr>
          <w:rFonts w:ascii="Arial" w:hAnsi="Arial" w:cs="Arial"/>
          <w:b/>
          <w:bCs/>
          <w:sz w:val="26"/>
          <w:szCs w:val="26"/>
          <w:lang w:eastAsia="en-GB"/>
        </w:rPr>
        <w:t xml:space="preserve"> Adds New Range of Innovative Power Solutions from MPS</w:t>
      </w:r>
    </w:p>
    <w:p w:rsidR="007054F5" w:rsidRPr="007054F5" w:rsidRDefault="007054F5" w:rsidP="007054F5">
      <w:pPr>
        <w:spacing w:line="276" w:lineRule="auto"/>
        <w:jc w:val="center"/>
        <w:rPr>
          <w:rFonts w:ascii="Arial" w:hAnsi="Arial" w:cs="Arial"/>
          <w:i/>
          <w:iCs/>
          <w:sz w:val="22"/>
          <w:szCs w:val="22"/>
          <w:lang w:eastAsia="en-GB"/>
        </w:rPr>
      </w:pPr>
      <w:r w:rsidRPr="007054F5">
        <w:rPr>
          <w:rFonts w:ascii="Arial" w:hAnsi="Arial" w:cs="Arial"/>
          <w:i/>
          <w:iCs/>
          <w:sz w:val="22"/>
          <w:szCs w:val="22"/>
          <w:lang w:eastAsia="en-GB"/>
        </w:rPr>
        <w:t>The ground-breaking selection of compact, energy efficient and easy-to-use power solutions by Monolithic Power Systems (MPS) can help accelerate design and bring products to market faster.</w:t>
      </w:r>
    </w:p>
    <w:p w:rsidR="007054F5" w:rsidRPr="007054F5" w:rsidRDefault="007054F5" w:rsidP="007054F5">
      <w:pPr>
        <w:spacing w:line="276" w:lineRule="auto"/>
        <w:jc w:val="center"/>
        <w:rPr>
          <w:rFonts w:ascii="Arial" w:hAnsi="Arial" w:cs="Arial"/>
          <w:i/>
          <w:iCs/>
          <w:sz w:val="22"/>
          <w:szCs w:val="22"/>
          <w:lang w:eastAsia="en-GB"/>
        </w:rPr>
      </w:pPr>
    </w:p>
    <w:p w:rsidR="007054F5" w:rsidRPr="007054F5" w:rsidRDefault="007054F5" w:rsidP="007054F5">
      <w:pPr>
        <w:spacing w:line="276" w:lineRule="auto"/>
        <w:ind w:right="44"/>
        <w:rPr>
          <w:rFonts w:ascii="Arial" w:hAnsi="Arial" w:cs="Arial"/>
          <w:sz w:val="22"/>
          <w:szCs w:val="22"/>
        </w:rPr>
      </w:pPr>
      <w:r w:rsidRPr="007054F5">
        <w:rPr>
          <w:rFonts w:ascii="Arial" w:eastAsiaTheme="minorEastAsia" w:hAnsi="Arial" w:cs="Arial"/>
          <w:b/>
          <w:bCs/>
          <w:sz w:val="22"/>
          <w:szCs w:val="22"/>
        </w:rPr>
        <w:t>Chicago</w:t>
      </w:r>
      <w:r w:rsidRPr="007054F5">
        <w:rPr>
          <w:rFonts w:ascii="Arial" w:eastAsiaTheme="minorEastAsia" w:hAnsi="Arial" w:cs="Arial"/>
          <w:b/>
          <w:bCs/>
          <w:sz w:val="22"/>
          <w:szCs w:val="22"/>
        </w:rPr>
        <w:t xml:space="preserve"> – June</w:t>
      </w:r>
      <w:r w:rsidRPr="007054F5">
        <w:rPr>
          <w:rFonts w:ascii="Arial" w:eastAsiaTheme="minorEastAsia" w:hAnsi="Arial" w:cs="Arial"/>
          <w:b/>
          <w:bCs/>
          <w:sz w:val="22"/>
          <w:szCs w:val="22"/>
        </w:rPr>
        <w:t xml:space="preserve"> 2</w:t>
      </w:r>
      <w:r w:rsidR="00764801">
        <w:rPr>
          <w:rFonts w:ascii="Arial" w:eastAsiaTheme="minorEastAsia" w:hAnsi="Arial" w:cs="Arial"/>
          <w:b/>
          <w:bCs/>
          <w:sz w:val="22"/>
          <w:szCs w:val="22"/>
        </w:rPr>
        <w:t>,</w:t>
      </w:r>
      <w:bookmarkStart w:id="0" w:name="_GoBack"/>
      <w:bookmarkEnd w:id="0"/>
      <w:r w:rsidRPr="007054F5">
        <w:rPr>
          <w:rFonts w:ascii="Arial" w:eastAsiaTheme="minorEastAsia" w:hAnsi="Arial" w:cs="Arial"/>
          <w:b/>
          <w:bCs/>
          <w:sz w:val="22"/>
          <w:szCs w:val="22"/>
        </w:rPr>
        <w:t xml:space="preserve"> 2020: </w:t>
      </w:r>
      <w:hyperlink r:id="rId7">
        <w:r w:rsidRPr="007054F5">
          <w:rPr>
            <w:rStyle w:val="Hyperlink"/>
            <w:rFonts w:ascii="Arial" w:eastAsiaTheme="minorEastAsia" w:hAnsi="Arial" w:cs="Arial"/>
            <w:sz w:val="22"/>
            <w:szCs w:val="22"/>
          </w:rPr>
          <w:t>Newark</w:t>
        </w:r>
        <w:r w:rsidRPr="007054F5">
          <w:rPr>
            <w:rStyle w:val="Hyperlink"/>
            <w:rFonts w:ascii="Arial" w:eastAsiaTheme="minorEastAsia" w:hAnsi="Arial" w:cs="Arial"/>
            <w:sz w:val="22"/>
            <w:szCs w:val="22"/>
          </w:rPr>
          <w:t>,</w:t>
        </w:r>
      </w:hyperlink>
      <w:r w:rsidRPr="007054F5">
        <w:rPr>
          <w:rFonts w:ascii="Arial" w:hAnsi="Arial" w:cs="Arial"/>
          <w:sz w:val="22"/>
          <w:szCs w:val="22"/>
        </w:rPr>
        <w:t xml:space="preserve"> the Development Distributor, has enhanced its semiconductor portfolio with a new range of compact, highly energy efficient power, motion control, and sensor solutions by Monolithic Power Systems (MPS). Since the company was established in 1997, MPS has patented many ground-breaking technologies, including its most notable achievement of integrating an entire power system onto a single chip, which continues to drive their highly integrated systems today. Its mission is simple: to provide green, practical, and compact solutions that help to reduce total energy consumption. </w:t>
      </w:r>
    </w:p>
    <w:p w:rsidR="007054F5" w:rsidRPr="007054F5" w:rsidRDefault="007054F5" w:rsidP="007054F5">
      <w:pPr>
        <w:spacing w:line="276" w:lineRule="auto"/>
        <w:ind w:right="44"/>
        <w:rPr>
          <w:rFonts w:ascii="Arial" w:hAnsi="Arial" w:cs="Arial"/>
          <w:sz w:val="22"/>
          <w:szCs w:val="22"/>
        </w:rPr>
      </w:pPr>
    </w:p>
    <w:p w:rsidR="007054F5" w:rsidRPr="007054F5" w:rsidRDefault="007054F5" w:rsidP="007054F5">
      <w:pPr>
        <w:spacing w:line="276" w:lineRule="auto"/>
        <w:ind w:right="44"/>
        <w:rPr>
          <w:rFonts w:ascii="Arial" w:hAnsi="Arial" w:cs="Arial"/>
          <w:sz w:val="22"/>
          <w:szCs w:val="22"/>
        </w:rPr>
      </w:pPr>
      <w:r w:rsidRPr="007054F5">
        <w:rPr>
          <w:rFonts w:ascii="Arial" w:hAnsi="Arial" w:cs="Arial"/>
          <w:sz w:val="22"/>
          <w:szCs w:val="22"/>
        </w:rPr>
        <w:t xml:space="preserve">MPS is the fastest growing power semiconductor company, </w:t>
      </w:r>
      <w:proofErr w:type="spellStart"/>
      <w:r w:rsidRPr="007054F5">
        <w:rPr>
          <w:rFonts w:ascii="Arial" w:hAnsi="Arial" w:cs="Arial"/>
          <w:sz w:val="22"/>
          <w:szCs w:val="22"/>
        </w:rPr>
        <w:t>specialising</w:t>
      </w:r>
      <w:proofErr w:type="spellEnd"/>
      <w:r w:rsidRPr="007054F5">
        <w:rPr>
          <w:rFonts w:ascii="Arial" w:hAnsi="Arial" w:cs="Arial"/>
          <w:sz w:val="22"/>
          <w:szCs w:val="22"/>
        </w:rPr>
        <w:t xml:space="preserve"> in the manufacture of small, energy efficient and easy-to-use power modules. The modules are commonly used in systems to support industrial applications, telecom infrastructures, cloud computing, automotive and consumer applications. Design engineers will benefit from MPS’ </w:t>
      </w:r>
      <w:proofErr w:type="spellStart"/>
      <w:r w:rsidRPr="007054F5">
        <w:rPr>
          <w:rFonts w:ascii="Arial" w:hAnsi="Arial" w:cs="Arial"/>
          <w:sz w:val="22"/>
          <w:szCs w:val="22"/>
        </w:rPr>
        <w:t>specialised</w:t>
      </w:r>
      <w:proofErr w:type="spellEnd"/>
      <w:r w:rsidRPr="007054F5">
        <w:rPr>
          <w:rFonts w:ascii="Arial" w:hAnsi="Arial" w:cs="Arial"/>
          <w:sz w:val="22"/>
          <w:szCs w:val="22"/>
        </w:rPr>
        <w:t xml:space="preserve"> single-package power modules which integrate a maximum number of components, including the inductor, to provide an entire power system in one device. Integrating all components into a single package accelerates the design process and provides greater flexibility for customers to focus on configuring a device’s attributes.  </w:t>
      </w:r>
    </w:p>
    <w:p w:rsidR="007054F5" w:rsidRPr="007054F5" w:rsidRDefault="007054F5" w:rsidP="007054F5">
      <w:pPr>
        <w:spacing w:line="276" w:lineRule="auto"/>
        <w:ind w:right="44"/>
        <w:rPr>
          <w:rFonts w:ascii="Arial" w:hAnsi="Arial" w:cs="Arial"/>
          <w:sz w:val="22"/>
          <w:szCs w:val="22"/>
        </w:rPr>
      </w:pPr>
    </w:p>
    <w:p w:rsidR="007054F5" w:rsidRPr="007054F5" w:rsidRDefault="007054F5" w:rsidP="007054F5">
      <w:pPr>
        <w:spacing w:line="276" w:lineRule="auto"/>
        <w:ind w:right="44"/>
        <w:rPr>
          <w:rFonts w:ascii="Arial" w:hAnsi="Arial" w:cs="Arial"/>
          <w:sz w:val="22"/>
          <w:szCs w:val="22"/>
        </w:rPr>
      </w:pPr>
      <w:r w:rsidRPr="007054F5">
        <w:rPr>
          <w:rFonts w:ascii="Arial" w:hAnsi="Arial" w:cs="Arial"/>
          <w:sz w:val="22"/>
          <w:szCs w:val="22"/>
        </w:rPr>
        <w:t xml:space="preserve">MPS power modules to be stocked by </w:t>
      </w:r>
      <w:r w:rsidRPr="007054F5">
        <w:rPr>
          <w:rFonts w:ascii="Arial" w:hAnsi="Arial" w:cs="Arial"/>
          <w:sz w:val="22"/>
          <w:szCs w:val="22"/>
        </w:rPr>
        <w:t>Newark</w:t>
      </w:r>
      <w:r w:rsidRPr="007054F5">
        <w:rPr>
          <w:rFonts w:ascii="Arial" w:hAnsi="Arial" w:cs="Arial"/>
          <w:sz w:val="22"/>
          <w:szCs w:val="22"/>
        </w:rPr>
        <w:t>, include:</w:t>
      </w:r>
    </w:p>
    <w:p w:rsidR="007054F5" w:rsidRPr="007054F5" w:rsidRDefault="007054F5" w:rsidP="007054F5">
      <w:pPr>
        <w:spacing w:line="276" w:lineRule="auto"/>
        <w:ind w:right="44"/>
        <w:rPr>
          <w:rFonts w:ascii="Arial" w:hAnsi="Arial" w:cs="Arial"/>
          <w:sz w:val="22"/>
          <w:szCs w:val="22"/>
        </w:rPr>
      </w:pPr>
    </w:p>
    <w:p w:rsidR="007054F5" w:rsidRPr="007054F5" w:rsidRDefault="007054F5" w:rsidP="007054F5">
      <w:pPr>
        <w:pStyle w:val="ListParagraph"/>
        <w:numPr>
          <w:ilvl w:val="0"/>
          <w:numId w:val="1"/>
        </w:numPr>
        <w:spacing w:after="0"/>
        <w:ind w:right="44"/>
        <w:rPr>
          <w:rFonts w:ascii="Arial" w:hAnsi="Arial" w:cs="Arial"/>
          <w:sz w:val="22"/>
          <w:szCs w:val="22"/>
        </w:rPr>
      </w:pPr>
      <w:r w:rsidRPr="007054F5">
        <w:rPr>
          <w:rFonts w:ascii="Arial" w:hAnsi="Arial" w:cs="Arial"/>
          <w:sz w:val="22"/>
          <w:szCs w:val="22"/>
        </w:rPr>
        <w:t xml:space="preserve">The </w:t>
      </w:r>
      <w:hyperlink r:id="rId8" w:history="1">
        <w:r w:rsidRPr="007054F5">
          <w:rPr>
            <w:rStyle w:val="Hyperlink"/>
            <w:rFonts w:ascii="Arial" w:hAnsi="Arial" w:cs="Arial"/>
            <w:b/>
            <w:sz w:val="22"/>
            <w:szCs w:val="22"/>
          </w:rPr>
          <w:t>MPM3822C</w:t>
        </w:r>
      </w:hyperlink>
      <w:r w:rsidRPr="007054F5">
        <w:rPr>
          <w:rFonts w:ascii="Arial" w:hAnsi="Arial" w:cs="Arial"/>
          <w:sz w:val="22"/>
          <w:szCs w:val="22"/>
        </w:rPr>
        <w:t xml:space="preserve"> is an ultra-small and ultra-low noise step-down power module in a QFN-18 package with an integrated inductor, suitable for space-limited applications, storage and portable products. Providing up to 2A of continuous output current from a 2.75V to 6V input voltage range, the MPM3822C offers excellent load and line regulation with low EMI. Other key features include short-circuit protection, cycle-by-cycle over-current protection as well as Enable (EN) and Power Good (PG) for power sequencing. </w:t>
      </w:r>
    </w:p>
    <w:p w:rsidR="007054F5" w:rsidRPr="007054F5" w:rsidRDefault="007054F5" w:rsidP="007054F5">
      <w:pPr>
        <w:pStyle w:val="ListParagraph"/>
        <w:spacing w:after="0"/>
        <w:rPr>
          <w:rFonts w:ascii="Arial" w:hAnsi="Arial" w:cs="Arial"/>
          <w:sz w:val="22"/>
          <w:szCs w:val="22"/>
        </w:rPr>
      </w:pPr>
    </w:p>
    <w:p w:rsidR="007054F5" w:rsidRPr="007054F5" w:rsidRDefault="007054F5" w:rsidP="007054F5">
      <w:pPr>
        <w:pStyle w:val="ListParagraph"/>
        <w:numPr>
          <w:ilvl w:val="0"/>
          <w:numId w:val="1"/>
        </w:numPr>
        <w:spacing w:after="0"/>
        <w:ind w:right="44"/>
        <w:rPr>
          <w:rFonts w:ascii="Arial" w:hAnsi="Arial" w:cs="Arial"/>
          <w:sz w:val="22"/>
          <w:szCs w:val="22"/>
        </w:rPr>
      </w:pPr>
      <w:r w:rsidRPr="007054F5">
        <w:rPr>
          <w:rFonts w:ascii="Arial" w:hAnsi="Arial"/>
          <w:sz w:val="22"/>
          <w:szCs w:val="22"/>
        </w:rPr>
        <w:t xml:space="preserve">The </w:t>
      </w:r>
      <w:hyperlink r:id="rId9" w:history="1">
        <w:r w:rsidRPr="007054F5">
          <w:rPr>
            <w:rStyle w:val="Hyperlink"/>
            <w:rFonts w:ascii="Arial" w:hAnsi="Arial"/>
            <w:b/>
            <w:sz w:val="22"/>
            <w:szCs w:val="22"/>
          </w:rPr>
          <w:t>MPM3811</w:t>
        </w:r>
      </w:hyperlink>
      <w:r w:rsidRPr="007054F5">
        <w:rPr>
          <w:rFonts w:ascii="Arial" w:hAnsi="Arial"/>
          <w:sz w:val="22"/>
          <w:szCs w:val="22"/>
        </w:rPr>
        <w:t xml:space="preserve"> is a monolithic, step-down, switch-mode converter with built-in, internal power MOSFETs and an inductor. The MPM3811 achieves 1A of continuous output current from a 2.3V to 5.5V input voltage with excellent load and line regulation. The MPM3811 is ideal for a wide range of applications, including high-performance DSPs, wireless power, portable and mobile devices, and other low-power systems.</w:t>
      </w:r>
      <w:r w:rsidRPr="007054F5">
        <w:rPr>
          <w:rFonts w:ascii="Arial" w:hAnsi="Arial" w:cs="Arial"/>
          <w:sz w:val="22"/>
          <w:szCs w:val="22"/>
        </w:rPr>
        <w:t xml:space="preserve"> </w:t>
      </w:r>
    </w:p>
    <w:p w:rsidR="007054F5" w:rsidRPr="007054F5" w:rsidRDefault="007054F5" w:rsidP="007054F5">
      <w:pPr>
        <w:pStyle w:val="ListParagraph"/>
        <w:rPr>
          <w:rFonts w:ascii="Arial" w:hAnsi="Arial" w:cs="Arial"/>
          <w:sz w:val="22"/>
          <w:szCs w:val="22"/>
        </w:rPr>
      </w:pPr>
    </w:p>
    <w:p w:rsidR="007054F5" w:rsidRPr="007054F5" w:rsidRDefault="007054F5" w:rsidP="007054F5">
      <w:pPr>
        <w:pStyle w:val="ListParagraph"/>
        <w:numPr>
          <w:ilvl w:val="0"/>
          <w:numId w:val="1"/>
        </w:numPr>
        <w:spacing w:after="0"/>
        <w:ind w:right="44"/>
        <w:rPr>
          <w:rFonts w:ascii="Arial" w:hAnsi="Arial" w:cs="Arial"/>
          <w:sz w:val="22"/>
          <w:szCs w:val="22"/>
        </w:rPr>
      </w:pPr>
      <w:r w:rsidRPr="007054F5">
        <w:rPr>
          <w:rFonts w:ascii="Arial" w:hAnsi="Arial" w:cs="Arial"/>
          <w:sz w:val="22"/>
          <w:szCs w:val="22"/>
        </w:rPr>
        <w:t xml:space="preserve">The </w:t>
      </w:r>
      <w:hyperlink r:id="rId10" w:history="1">
        <w:r w:rsidRPr="007054F5">
          <w:rPr>
            <w:rStyle w:val="Hyperlink"/>
            <w:rFonts w:ascii="Arial" w:hAnsi="Arial" w:cs="Arial"/>
            <w:b/>
            <w:bCs/>
            <w:sz w:val="22"/>
            <w:szCs w:val="22"/>
          </w:rPr>
          <w:t>MPM3695-25</w:t>
        </w:r>
      </w:hyperlink>
      <w:r w:rsidRPr="007054F5">
        <w:rPr>
          <w:rFonts w:ascii="Arial" w:hAnsi="Arial" w:cs="Arial"/>
          <w:b/>
          <w:bCs/>
          <w:sz w:val="22"/>
          <w:szCs w:val="22"/>
        </w:rPr>
        <w:t xml:space="preserve"> </w:t>
      </w:r>
      <w:r w:rsidRPr="007054F5">
        <w:rPr>
          <w:rFonts w:ascii="Arial" w:hAnsi="Arial" w:cs="Arial"/>
          <w:sz w:val="22"/>
          <w:szCs w:val="22"/>
        </w:rPr>
        <w:t xml:space="preserve">is an industry-leading scalable and fully integrated power module with a </w:t>
      </w:r>
      <w:proofErr w:type="spellStart"/>
      <w:r w:rsidRPr="007054F5">
        <w:rPr>
          <w:rFonts w:ascii="Arial" w:hAnsi="Arial" w:cs="Arial"/>
          <w:sz w:val="22"/>
          <w:szCs w:val="22"/>
        </w:rPr>
        <w:t>PMBus</w:t>
      </w:r>
      <w:proofErr w:type="spellEnd"/>
      <w:r w:rsidRPr="007054F5">
        <w:rPr>
          <w:rFonts w:ascii="Arial" w:hAnsi="Arial" w:cs="Arial"/>
          <w:sz w:val="22"/>
          <w:szCs w:val="22"/>
        </w:rPr>
        <w:t xml:space="preserve"> interface.</w:t>
      </w:r>
      <w:r w:rsidRPr="007054F5">
        <w:rPr>
          <w:rFonts w:ascii="Arial" w:hAnsi="Arial" w:cs="Arial"/>
          <w:b/>
          <w:bCs/>
          <w:sz w:val="22"/>
          <w:szCs w:val="22"/>
        </w:rPr>
        <w:t xml:space="preserve"> </w:t>
      </w:r>
      <w:r w:rsidRPr="007054F5">
        <w:rPr>
          <w:rFonts w:ascii="Arial" w:hAnsi="Arial" w:cs="Arial"/>
          <w:sz w:val="22"/>
          <w:szCs w:val="22"/>
        </w:rPr>
        <w:t>It can deliver up to 250A peak and 200A of continuous current and a low voltage output down to 0.5V. Ideal for telecom and networking systems, it provides up to 60 percent higher power density compared to discrete point-of-load (POL) solutions and offers a core rail supply for many devices. With a small QFN-59 package and a wide input/output voltage range, the MPM3695-25 power module is also suitable for use in industrial equipment, serves and computing as well as FPGAs/ASIC artificial intelligence and data mining.</w:t>
      </w:r>
    </w:p>
    <w:p w:rsidR="007054F5" w:rsidRPr="007054F5" w:rsidRDefault="007054F5" w:rsidP="007054F5">
      <w:pPr>
        <w:spacing w:line="276" w:lineRule="auto"/>
        <w:ind w:right="44"/>
        <w:rPr>
          <w:rFonts w:ascii="Arial" w:hAnsi="Arial" w:cs="Arial"/>
          <w:sz w:val="22"/>
          <w:szCs w:val="22"/>
        </w:rPr>
      </w:pPr>
    </w:p>
    <w:p w:rsidR="007054F5" w:rsidRPr="007054F5" w:rsidRDefault="007054F5" w:rsidP="007054F5">
      <w:pPr>
        <w:spacing w:line="276" w:lineRule="auto"/>
        <w:rPr>
          <w:rFonts w:ascii="Arial" w:hAnsi="Arial" w:cs="Arial"/>
          <w:sz w:val="22"/>
          <w:szCs w:val="22"/>
        </w:rPr>
      </w:pPr>
      <w:r w:rsidRPr="007054F5">
        <w:rPr>
          <w:rFonts w:ascii="Arial" w:hAnsi="Arial" w:cs="Arial"/>
          <w:b/>
          <w:bCs/>
          <w:sz w:val="22"/>
          <w:szCs w:val="22"/>
        </w:rPr>
        <w:t xml:space="preserve">Lee Turner, Global Head of Semiconductors and SBC for </w:t>
      </w:r>
      <w:r w:rsidRPr="007054F5">
        <w:rPr>
          <w:rFonts w:ascii="Arial" w:hAnsi="Arial" w:cs="Arial"/>
          <w:b/>
          <w:bCs/>
          <w:sz w:val="22"/>
          <w:szCs w:val="22"/>
        </w:rPr>
        <w:t>Newark</w:t>
      </w:r>
      <w:r w:rsidRPr="007054F5">
        <w:rPr>
          <w:rFonts w:ascii="Arial" w:hAnsi="Arial" w:cs="Arial"/>
          <w:sz w:val="22"/>
          <w:szCs w:val="22"/>
        </w:rPr>
        <w:t xml:space="preserve"> says: “MPS is a true innovator in the semiconductor market, and this</w:t>
      </w:r>
      <w:r w:rsidRPr="007054F5">
        <w:rPr>
          <w:rFonts w:ascii="Arial" w:hAnsi="Arial"/>
          <w:sz w:val="22"/>
          <w:szCs w:val="22"/>
        </w:rPr>
        <w:t xml:space="preserve"> new agreement allows us to deliver the highest quality power solutions to customers in </w:t>
      </w:r>
      <w:r w:rsidRPr="007054F5">
        <w:rPr>
          <w:rFonts w:ascii="Arial" w:hAnsi="Arial" w:cs="Arial"/>
          <w:sz w:val="22"/>
          <w:szCs w:val="22"/>
        </w:rPr>
        <w:t>industrial, telecom, cloud, automotive</w:t>
      </w:r>
      <w:r w:rsidRPr="007054F5">
        <w:rPr>
          <w:rFonts w:ascii="Arial" w:hAnsi="Arial"/>
          <w:sz w:val="22"/>
          <w:szCs w:val="22"/>
        </w:rPr>
        <w:t xml:space="preserve"> and </w:t>
      </w:r>
      <w:r w:rsidRPr="007054F5">
        <w:rPr>
          <w:rFonts w:ascii="Arial" w:hAnsi="Arial" w:cs="Arial"/>
          <w:sz w:val="22"/>
          <w:szCs w:val="22"/>
        </w:rPr>
        <w:t>consumer</w:t>
      </w:r>
      <w:r w:rsidRPr="007054F5">
        <w:rPr>
          <w:rFonts w:ascii="Arial" w:hAnsi="Arial"/>
          <w:sz w:val="22"/>
          <w:szCs w:val="22"/>
        </w:rPr>
        <w:t xml:space="preserve"> applications whilst further bolstering </w:t>
      </w:r>
      <w:r w:rsidRPr="007054F5">
        <w:rPr>
          <w:rFonts w:ascii="Arial" w:hAnsi="Arial"/>
          <w:sz w:val="22"/>
          <w:szCs w:val="22"/>
        </w:rPr>
        <w:lastRenderedPageBreak/>
        <w:t>Newark’s</w:t>
      </w:r>
      <w:r w:rsidRPr="007054F5">
        <w:rPr>
          <w:rFonts w:ascii="Arial" w:hAnsi="Arial"/>
          <w:sz w:val="22"/>
          <w:szCs w:val="22"/>
        </w:rPr>
        <w:t xml:space="preserve"> global power portfolio.</w:t>
      </w:r>
      <w:r w:rsidRPr="007054F5">
        <w:rPr>
          <w:rFonts w:ascii="Arial" w:hAnsi="Arial" w:cs="Arial"/>
          <w:sz w:val="22"/>
          <w:szCs w:val="22"/>
        </w:rPr>
        <w:t xml:space="preserve"> This state-of-the-art range further demonstrates our continued commitment to provide our customers with the most innovative power solutions that can accelerate the design process and can help bring products to market faster. Many of our design-oriented customers enjoy having the flexibility to use high quality, integrated solutions when designing applications so they can focus on other critical hardware or software components.”</w:t>
      </w:r>
    </w:p>
    <w:p w:rsidR="007054F5" w:rsidRPr="007054F5" w:rsidRDefault="007054F5" w:rsidP="007054F5">
      <w:pPr>
        <w:spacing w:line="276" w:lineRule="auto"/>
        <w:rPr>
          <w:rFonts w:ascii="Calibri" w:eastAsia="Calibri" w:hAnsi="Calibri" w:cs="Calibri"/>
          <w:color w:val="1F497D"/>
          <w:sz w:val="22"/>
          <w:szCs w:val="22"/>
        </w:rPr>
      </w:pPr>
    </w:p>
    <w:p w:rsidR="007054F5" w:rsidRPr="007054F5" w:rsidRDefault="007054F5" w:rsidP="007054F5">
      <w:pPr>
        <w:spacing w:line="276" w:lineRule="auto"/>
        <w:rPr>
          <w:rFonts w:ascii="Arial" w:hAnsi="Arial" w:cs="Arial"/>
          <w:sz w:val="22"/>
          <w:szCs w:val="22"/>
        </w:rPr>
      </w:pPr>
      <w:r w:rsidRPr="007054F5">
        <w:rPr>
          <w:rFonts w:ascii="Arial" w:hAnsi="Arial" w:cs="Arial"/>
          <w:sz w:val="22"/>
          <w:szCs w:val="22"/>
        </w:rPr>
        <w:t>Newark</w:t>
      </w:r>
      <w:r w:rsidRPr="007054F5">
        <w:rPr>
          <w:rFonts w:ascii="Arial" w:hAnsi="Arial" w:cs="Arial"/>
          <w:sz w:val="22"/>
          <w:szCs w:val="22"/>
        </w:rPr>
        <w:t xml:space="preserve"> offers an extensive range of products in its comprehensive semiconductor portfolio to support design engineers. Customers also have free access to online resources, data sheets, application notes, videos and webinars on </w:t>
      </w:r>
      <w:r w:rsidRPr="007054F5">
        <w:rPr>
          <w:rFonts w:ascii="Arial" w:hAnsi="Arial" w:cs="Arial"/>
          <w:sz w:val="22"/>
          <w:szCs w:val="22"/>
        </w:rPr>
        <w:t>Newark’s</w:t>
      </w:r>
      <w:r w:rsidRPr="007054F5">
        <w:rPr>
          <w:rFonts w:ascii="Arial" w:hAnsi="Arial" w:cs="Arial"/>
          <w:sz w:val="22"/>
          <w:szCs w:val="22"/>
        </w:rPr>
        <w:t xml:space="preserve"> website and 24/5 technical support.  </w:t>
      </w:r>
    </w:p>
    <w:p w:rsidR="007054F5" w:rsidRPr="007054F5" w:rsidRDefault="007054F5" w:rsidP="007054F5">
      <w:pPr>
        <w:spacing w:line="276" w:lineRule="auto"/>
        <w:rPr>
          <w:rFonts w:ascii="Arial" w:hAnsi="Arial" w:cs="Arial"/>
          <w:sz w:val="22"/>
          <w:szCs w:val="22"/>
        </w:rPr>
      </w:pPr>
    </w:p>
    <w:p w:rsidR="007054F5" w:rsidRPr="007054F5" w:rsidRDefault="007054F5" w:rsidP="007054F5">
      <w:pPr>
        <w:spacing w:line="276" w:lineRule="auto"/>
        <w:rPr>
          <w:rFonts w:ascii="Arial" w:hAnsi="Arial" w:cs="Arial"/>
          <w:sz w:val="22"/>
          <w:szCs w:val="22"/>
        </w:rPr>
      </w:pPr>
      <w:r w:rsidRPr="007054F5">
        <w:rPr>
          <w:rFonts w:ascii="Arial" w:hAnsi="Arial" w:cs="Arial"/>
          <w:sz w:val="22"/>
          <w:szCs w:val="22"/>
        </w:rPr>
        <w:t xml:space="preserve">The MPS range of power semiconductor solutions are available for fast shipping from </w:t>
      </w:r>
      <w:hyperlink r:id="rId11" w:history="1">
        <w:r w:rsidRPr="007054F5">
          <w:rPr>
            <w:rStyle w:val="Hyperlink"/>
            <w:rFonts w:ascii="Arial" w:hAnsi="Arial" w:cs="Arial"/>
            <w:sz w:val="22"/>
            <w:szCs w:val="22"/>
          </w:rPr>
          <w:t>Farnell</w:t>
        </w:r>
      </w:hyperlink>
      <w:r w:rsidRPr="007054F5">
        <w:rPr>
          <w:rFonts w:ascii="Arial" w:hAnsi="Arial" w:cs="Arial"/>
          <w:sz w:val="22"/>
          <w:szCs w:val="22"/>
        </w:rPr>
        <w:t xml:space="preserve"> in EMEA, </w:t>
      </w:r>
      <w:hyperlink r:id="rId12" w:history="1">
        <w:r w:rsidRPr="007054F5">
          <w:rPr>
            <w:rStyle w:val="Hyperlink"/>
            <w:rFonts w:ascii="Arial" w:hAnsi="Arial" w:cs="Arial"/>
            <w:sz w:val="22"/>
            <w:szCs w:val="22"/>
          </w:rPr>
          <w:t>element14</w:t>
        </w:r>
      </w:hyperlink>
      <w:r w:rsidRPr="007054F5">
        <w:rPr>
          <w:rFonts w:ascii="Arial" w:hAnsi="Arial" w:cs="Arial"/>
          <w:sz w:val="22"/>
          <w:szCs w:val="22"/>
        </w:rPr>
        <w:t xml:space="preserve"> in APAC and </w:t>
      </w:r>
      <w:hyperlink r:id="rId13" w:history="1">
        <w:r w:rsidRPr="007054F5">
          <w:rPr>
            <w:rStyle w:val="Hyperlink"/>
            <w:rFonts w:ascii="Arial" w:hAnsi="Arial" w:cs="Arial"/>
            <w:sz w:val="22"/>
            <w:szCs w:val="22"/>
          </w:rPr>
          <w:t>Newark</w:t>
        </w:r>
      </w:hyperlink>
      <w:r w:rsidRPr="007054F5">
        <w:rPr>
          <w:rFonts w:ascii="Arial" w:hAnsi="Arial" w:cs="Arial"/>
          <w:sz w:val="22"/>
          <w:szCs w:val="22"/>
        </w:rPr>
        <w:t xml:space="preserve"> in North America.</w:t>
      </w:r>
    </w:p>
    <w:p w:rsidR="007054F5" w:rsidRPr="007054F5" w:rsidRDefault="007054F5" w:rsidP="007054F5">
      <w:pPr>
        <w:spacing w:line="23" w:lineRule="atLeast"/>
        <w:jc w:val="center"/>
        <w:rPr>
          <w:rFonts w:ascii="Arial" w:eastAsia="Calibri" w:hAnsi="Arial" w:cs="Arial"/>
          <w:b/>
          <w:color w:val="000000"/>
          <w:sz w:val="20"/>
          <w:szCs w:val="20"/>
          <w:lang w:val="en-GB"/>
        </w:rPr>
      </w:pPr>
    </w:p>
    <w:p w:rsidR="007054F5" w:rsidRPr="007054F5" w:rsidRDefault="007054F5" w:rsidP="007054F5">
      <w:pPr>
        <w:spacing w:line="23" w:lineRule="atLeast"/>
        <w:jc w:val="center"/>
        <w:rPr>
          <w:rFonts w:ascii="Arial" w:eastAsia="Calibri" w:hAnsi="Arial" w:cs="Arial"/>
          <w:b/>
          <w:color w:val="000000"/>
          <w:sz w:val="20"/>
          <w:szCs w:val="20"/>
          <w:lang w:val="en-GB"/>
        </w:rPr>
      </w:pPr>
    </w:p>
    <w:p w:rsidR="007054F5" w:rsidRPr="007054F5" w:rsidRDefault="007054F5" w:rsidP="007054F5">
      <w:pPr>
        <w:spacing w:line="23" w:lineRule="atLeast"/>
        <w:jc w:val="center"/>
        <w:rPr>
          <w:rFonts w:ascii="Arial" w:eastAsia="Calibri" w:hAnsi="Arial" w:cs="Arial"/>
          <w:b/>
          <w:color w:val="000000"/>
          <w:sz w:val="20"/>
          <w:szCs w:val="20"/>
          <w:lang w:val="en-GB"/>
        </w:rPr>
      </w:pPr>
      <w:r w:rsidRPr="007054F5">
        <w:rPr>
          <w:rFonts w:ascii="Arial" w:eastAsia="Calibri" w:hAnsi="Arial" w:cs="Arial"/>
          <w:b/>
          <w:color w:val="000000"/>
          <w:sz w:val="20"/>
          <w:szCs w:val="20"/>
          <w:lang w:val="en-GB"/>
        </w:rPr>
        <w:t>** Ends**</w:t>
      </w:r>
    </w:p>
    <w:p w:rsidR="007054F5" w:rsidRPr="007054F5" w:rsidRDefault="007054F5" w:rsidP="007054F5">
      <w:pPr>
        <w:spacing w:line="23" w:lineRule="atLeast"/>
        <w:jc w:val="center"/>
        <w:rPr>
          <w:rFonts w:ascii="Arial" w:eastAsia="Calibri" w:hAnsi="Arial" w:cs="Arial"/>
          <w:b/>
          <w:color w:val="000000"/>
          <w:sz w:val="20"/>
          <w:szCs w:val="20"/>
          <w:lang w:val="en-GB"/>
        </w:rPr>
      </w:pPr>
    </w:p>
    <w:p w:rsidR="007054F5" w:rsidRPr="007054F5" w:rsidRDefault="007054F5" w:rsidP="007054F5">
      <w:pPr>
        <w:rPr>
          <w:rFonts w:ascii="Arial" w:hAnsi="Arial" w:cs="Arial"/>
          <w:b/>
          <w:sz w:val="20"/>
          <w:szCs w:val="20"/>
          <w:u w:val="single"/>
        </w:rPr>
      </w:pPr>
      <w:r w:rsidRPr="007054F5">
        <w:rPr>
          <w:rFonts w:ascii="Arial" w:hAnsi="Arial" w:cs="Arial"/>
          <w:b/>
          <w:sz w:val="20"/>
          <w:szCs w:val="20"/>
          <w:u w:val="single"/>
        </w:rPr>
        <w:t>Notes to Editors</w:t>
      </w:r>
    </w:p>
    <w:p w:rsidR="007054F5" w:rsidRPr="007054F5" w:rsidRDefault="007054F5" w:rsidP="007054F5">
      <w:pPr>
        <w:rPr>
          <w:rFonts w:ascii="Arial" w:hAnsi="Arial" w:cs="Arial"/>
          <w:b/>
          <w:sz w:val="20"/>
          <w:szCs w:val="20"/>
        </w:rPr>
      </w:pPr>
    </w:p>
    <w:p w:rsidR="007054F5" w:rsidRPr="007054F5" w:rsidRDefault="007054F5" w:rsidP="007054F5">
      <w:pPr>
        <w:rPr>
          <w:rFonts w:ascii="Arial" w:hAnsi="Arial" w:cs="Arial"/>
          <w:sz w:val="20"/>
          <w:szCs w:val="20"/>
        </w:rPr>
      </w:pPr>
      <w:r w:rsidRPr="007054F5">
        <w:rPr>
          <w:rFonts w:ascii="Arial" w:hAnsi="Arial" w:cs="Arial"/>
          <w:sz w:val="20"/>
          <w:szCs w:val="20"/>
        </w:rPr>
        <w:t xml:space="preserve">You can find more details and supporting imagery related to this press release on our newsroom: </w:t>
      </w:r>
      <w:hyperlink r:id="rId14" w:history="1">
        <w:r w:rsidRPr="007054F5">
          <w:rPr>
            <w:rStyle w:val="Hyperlink"/>
            <w:rFonts w:ascii="Arial" w:hAnsi="Arial" w:cs="Arial"/>
            <w:sz w:val="20"/>
            <w:szCs w:val="20"/>
          </w:rPr>
          <w:t>www.element14.com/news</w:t>
        </w:r>
      </w:hyperlink>
    </w:p>
    <w:p w:rsidR="007054F5" w:rsidRPr="007054F5" w:rsidRDefault="007054F5" w:rsidP="007054F5">
      <w:pPr>
        <w:rPr>
          <w:rFonts w:ascii="Arial" w:hAnsi="Arial" w:cs="Arial"/>
          <w:sz w:val="20"/>
          <w:szCs w:val="20"/>
        </w:rPr>
      </w:pPr>
    </w:p>
    <w:p w:rsidR="007054F5" w:rsidRPr="007054F5" w:rsidRDefault="007054F5" w:rsidP="007054F5">
      <w:pPr>
        <w:rPr>
          <w:rFonts w:ascii="Arial" w:hAnsi="Arial" w:cs="Arial"/>
          <w:b/>
          <w:bCs/>
          <w:sz w:val="20"/>
          <w:szCs w:val="20"/>
        </w:rPr>
      </w:pPr>
      <w:r w:rsidRPr="007054F5">
        <w:rPr>
          <w:rFonts w:ascii="Arial" w:hAnsi="Arial" w:cs="Arial"/>
          <w:b/>
          <w:bCs/>
          <w:sz w:val="20"/>
          <w:szCs w:val="20"/>
        </w:rPr>
        <w:t>About us</w:t>
      </w:r>
    </w:p>
    <w:p w:rsidR="007054F5" w:rsidRPr="007054F5" w:rsidRDefault="007054F5" w:rsidP="007054F5">
      <w:pPr>
        <w:rPr>
          <w:rFonts w:ascii="Arial" w:hAnsi="Arial" w:cs="Arial"/>
          <w:b/>
          <w:bCs/>
          <w:sz w:val="20"/>
          <w:szCs w:val="20"/>
          <w:u w:val="single"/>
        </w:rPr>
      </w:pPr>
    </w:p>
    <w:p w:rsidR="007054F5" w:rsidRPr="007054F5" w:rsidRDefault="007054F5" w:rsidP="007054F5">
      <w:pPr>
        <w:rPr>
          <w:rFonts w:ascii="Arial" w:hAnsi="Arial" w:cs="Arial"/>
          <w:sz w:val="20"/>
          <w:szCs w:val="20"/>
        </w:rPr>
      </w:pPr>
      <w:hyperlink r:id="rId15" w:history="1">
        <w:r w:rsidRPr="007054F5">
          <w:rPr>
            <w:rStyle w:val="Hyperlink"/>
            <w:rFonts w:ascii="Arial" w:hAnsi="Arial" w:cs="Arial"/>
            <w:sz w:val="20"/>
            <w:szCs w:val="20"/>
          </w:rPr>
          <w:t>Newark</w:t>
        </w:r>
      </w:hyperlink>
      <w:r w:rsidRPr="007054F5">
        <w:rPr>
          <w:rStyle w:val="Hyperlink"/>
          <w:rFonts w:ascii="Arial" w:hAnsi="Arial" w:cs="Arial"/>
          <w:color w:val="auto"/>
          <w:sz w:val="20"/>
          <w:szCs w:val="20"/>
          <w:u w:val="none"/>
        </w:rPr>
        <w:t xml:space="preserve"> is part of the </w:t>
      </w:r>
      <w:hyperlink r:id="rId16" w:history="1">
        <w:r w:rsidRPr="007054F5">
          <w:rPr>
            <w:rStyle w:val="Hyperlink"/>
            <w:rFonts w:ascii="Arial" w:hAnsi="Arial" w:cs="Arial"/>
            <w:sz w:val="20"/>
            <w:szCs w:val="20"/>
          </w:rPr>
          <w:t>Farnell</w:t>
        </w:r>
      </w:hyperlink>
      <w:r w:rsidRPr="007054F5">
        <w:rPr>
          <w:rStyle w:val="Hyperlink"/>
          <w:rFonts w:ascii="Arial" w:hAnsi="Arial" w:cs="Arial"/>
          <w:color w:val="auto"/>
          <w:sz w:val="20"/>
          <w:szCs w:val="20"/>
          <w:u w:val="none"/>
        </w:rPr>
        <w:t xml:space="preserve"> group of businesses,</w:t>
      </w:r>
      <w:r w:rsidRPr="007054F5">
        <w:rPr>
          <w:rStyle w:val="Hyperlink"/>
          <w:rFonts w:ascii="Arial" w:hAnsi="Arial" w:cs="Arial"/>
          <w:color w:val="auto"/>
          <w:sz w:val="20"/>
          <w:szCs w:val="20"/>
        </w:rPr>
        <w:t xml:space="preserve"> </w:t>
      </w:r>
      <w:r w:rsidRPr="007054F5">
        <w:rPr>
          <w:rFonts w:ascii="Arial" w:hAnsi="Arial" w:cs="Arial"/>
          <w:sz w:val="20"/>
          <w:szCs w:val="20"/>
        </w:rPr>
        <w:t xml:space="preserve">a global technology leader with over 80 years in the high service distribution of technology products and solutions for electronic system design, production, maintenance and repair. Farnell uses this experience to support its broad customer base, from hobbyists to engineers, maintenance engineers and buyers as ‘The Development Distributor’, working with leading brands and start-ups to develop new products for market, and supporting the industry as it seeks to develop the current and next generation of engineers.  </w:t>
      </w:r>
    </w:p>
    <w:p w:rsidR="007054F5" w:rsidRPr="007054F5" w:rsidRDefault="007054F5" w:rsidP="007054F5">
      <w:pPr>
        <w:rPr>
          <w:rFonts w:ascii="Arial" w:hAnsi="Arial" w:cs="Arial"/>
          <w:sz w:val="20"/>
          <w:szCs w:val="20"/>
        </w:rPr>
      </w:pPr>
    </w:p>
    <w:p w:rsidR="007054F5" w:rsidRPr="007054F5" w:rsidRDefault="007054F5" w:rsidP="007054F5">
      <w:pPr>
        <w:rPr>
          <w:rFonts w:ascii="Arial" w:hAnsi="Arial" w:cs="Arial"/>
          <w:sz w:val="20"/>
          <w:szCs w:val="20"/>
        </w:rPr>
      </w:pPr>
      <w:r w:rsidRPr="007054F5">
        <w:rPr>
          <w:rFonts w:ascii="Arial" w:hAnsi="Arial" w:cs="Arial"/>
          <w:sz w:val="20"/>
          <w:szCs w:val="20"/>
        </w:rPr>
        <w:t xml:space="preserve">Farnell trades as </w:t>
      </w:r>
      <w:hyperlink r:id="rId17" w:history="1">
        <w:r w:rsidRPr="007054F5">
          <w:rPr>
            <w:rStyle w:val="Hyperlink"/>
            <w:rFonts w:ascii="Arial" w:hAnsi="Arial" w:cs="Arial"/>
            <w:sz w:val="20"/>
            <w:szCs w:val="20"/>
          </w:rPr>
          <w:t>Farnell</w:t>
        </w:r>
      </w:hyperlink>
      <w:r w:rsidRPr="007054F5">
        <w:rPr>
          <w:rFonts w:ascii="Arial" w:hAnsi="Arial" w:cs="Arial"/>
          <w:sz w:val="20"/>
          <w:szCs w:val="20"/>
        </w:rPr>
        <w:t xml:space="preserve"> in Europe; </w:t>
      </w:r>
      <w:hyperlink r:id="rId18" w:history="1">
        <w:r w:rsidRPr="007054F5">
          <w:rPr>
            <w:rStyle w:val="Hyperlink"/>
            <w:rFonts w:ascii="Arial" w:hAnsi="Arial" w:cs="Arial"/>
            <w:sz w:val="20"/>
            <w:szCs w:val="20"/>
          </w:rPr>
          <w:t>Newark</w:t>
        </w:r>
      </w:hyperlink>
      <w:r w:rsidRPr="007054F5">
        <w:rPr>
          <w:rFonts w:ascii="Arial" w:hAnsi="Arial" w:cs="Arial"/>
          <w:sz w:val="20"/>
          <w:szCs w:val="20"/>
        </w:rPr>
        <w:t xml:space="preserve"> in North America; and </w:t>
      </w:r>
      <w:hyperlink r:id="rId19" w:history="1">
        <w:r w:rsidRPr="007054F5">
          <w:rPr>
            <w:rStyle w:val="Hyperlink"/>
            <w:rFonts w:ascii="Arial" w:hAnsi="Arial" w:cs="Arial"/>
            <w:sz w:val="20"/>
            <w:szCs w:val="20"/>
          </w:rPr>
          <w:t>element14</w:t>
        </w:r>
      </w:hyperlink>
      <w:r w:rsidRPr="007054F5">
        <w:rPr>
          <w:rFonts w:ascii="Arial" w:hAnsi="Arial" w:cs="Arial"/>
          <w:sz w:val="20"/>
          <w:szCs w:val="20"/>
        </w:rPr>
        <w:t xml:space="preserve"> throughout Asia Pacific. Farnell sells direct to consumers through a network of resellers and its </w:t>
      </w:r>
      <w:hyperlink r:id="rId20" w:history="1">
        <w:r w:rsidRPr="007054F5">
          <w:rPr>
            <w:rStyle w:val="Hyperlink"/>
            <w:rFonts w:ascii="Arial" w:hAnsi="Arial" w:cs="Arial"/>
            <w:sz w:val="20"/>
            <w:szCs w:val="20"/>
          </w:rPr>
          <w:t>CPC</w:t>
        </w:r>
      </w:hyperlink>
      <w:r w:rsidRPr="007054F5">
        <w:rPr>
          <w:rFonts w:ascii="Arial" w:hAnsi="Arial" w:cs="Arial"/>
          <w:sz w:val="20"/>
          <w:szCs w:val="20"/>
        </w:rPr>
        <w:t xml:space="preserve"> business in the UK.</w:t>
      </w:r>
    </w:p>
    <w:p w:rsidR="007054F5" w:rsidRPr="007054F5" w:rsidRDefault="007054F5" w:rsidP="007054F5">
      <w:pPr>
        <w:rPr>
          <w:rFonts w:ascii="Arial" w:hAnsi="Arial" w:cs="Arial"/>
          <w:sz w:val="20"/>
          <w:szCs w:val="20"/>
        </w:rPr>
      </w:pPr>
    </w:p>
    <w:p w:rsidR="007054F5" w:rsidRPr="007054F5" w:rsidRDefault="007054F5" w:rsidP="007054F5">
      <w:pPr>
        <w:rPr>
          <w:rFonts w:ascii="Arial" w:hAnsi="Arial" w:cs="Arial"/>
          <w:sz w:val="20"/>
          <w:szCs w:val="20"/>
        </w:rPr>
      </w:pPr>
      <w:r w:rsidRPr="007054F5">
        <w:rPr>
          <w:rFonts w:ascii="Arial" w:hAnsi="Arial" w:cs="Arial"/>
          <w:sz w:val="20"/>
          <w:szCs w:val="20"/>
        </w:rPr>
        <w:t xml:space="preserve">Farnell is a business unit of </w:t>
      </w:r>
      <w:hyperlink r:id="rId21" w:history="1">
        <w:r w:rsidRPr="007054F5">
          <w:rPr>
            <w:rStyle w:val="Hyperlink"/>
            <w:rFonts w:ascii="Arial" w:hAnsi="Arial" w:cs="Arial"/>
            <w:sz w:val="20"/>
            <w:szCs w:val="20"/>
          </w:rPr>
          <w:t>Avnet</w:t>
        </w:r>
      </w:hyperlink>
      <w:r w:rsidRPr="007054F5">
        <w:rPr>
          <w:rFonts w:ascii="Arial" w:hAnsi="Arial" w:cs="Arial"/>
          <w:sz w:val="20"/>
          <w:szCs w:val="20"/>
        </w:rPr>
        <w:t>, Inc. (</w:t>
      </w:r>
      <w:proofErr w:type="gramStart"/>
      <w:r w:rsidRPr="007054F5">
        <w:rPr>
          <w:rFonts w:ascii="Arial" w:hAnsi="Arial" w:cs="Arial"/>
          <w:sz w:val="20"/>
          <w:szCs w:val="20"/>
        </w:rPr>
        <w:t>Nasdaq</w:t>
      </w:r>
      <w:proofErr w:type="gramEnd"/>
      <w:r w:rsidRPr="007054F5">
        <w:rPr>
          <w:rFonts w:ascii="Arial" w:hAnsi="Arial" w:cs="Arial"/>
          <w:sz w:val="20"/>
          <w:szCs w:val="20"/>
        </w:rPr>
        <w:t xml:space="preserve">: </w:t>
      </w:r>
      <w:hyperlink r:id="rId22" w:history="1">
        <w:r w:rsidRPr="007054F5">
          <w:rPr>
            <w:rStyle w:val="Hyperlink"/>
            <w:rFonts w:ascii="Arial" w:hAnsi="Arial" w:cs="Arial"/>
            <w:sz w:val="20"/>
            <w:szCs w:val="20"/>
          </w:rPr>
          <w:t>AVT</w:t>
        </w:r>
      </w:hyperlink>
      <w:r w:rsidRPr="007054F5">
        <w:rPr>
          <w:rFonts w:ascii="Arial" w:hAnsi="Arial" w:cs="Arial"/>
          <w:sz w:val="20"/>
          <w:szCs w:val="20"/>
        </w:rPr>
        <w:t>).</w:t>
      </w:r>
      <w:r w:rsidRPr="007054F5">
        <w:rPr>
          <w:rFonts w:ascii="Arial" w:hAnsi="Arial" w:cs="Arial"/>
          <w:sz w:val="20"/>
          <w:szCs w:val="20"/>
          <w:shd w:val="clear" w:color="auto" w:fill="FFFFFF"/>
        </w:rPr>
        <w:t xml:space="preserve"> Avnet is a global technology solutions provider with an extensive ecosystem that delivers design, product, marketing and supply chain expertise for customers at every stage of the product lifecycle. </w:t>
      </w:r>
    </w:p>
    <w:p w:rsidR="007054F5" w:rsidRPr="007054F5" w:rsidRDefault="007054F5" w:rsidP="007054F5">
      <w:pPr>
        <w:rPr>
          <w:rFonts w:ascii="Arial" w:hAnsi="Arial" w:cs="Arial"/>
          <w:sz w:val="20"/>
          <w:szCs w:val="20"/>
          <w:shd w:val="clear" w:color="auto" w:fill="FFFFFF"/>
        </w:rPr>
      </w:pPr>
    </w:p>
    <w:p w:rsidR="007054F5" w:rsidRPr="007054F5" w:rsidRDefault="007054F5" w:rsidP="007054F5">
      <w:pPr>
        <w:shd w:val="clear" w:color="auto" w:fill="FFFFFF"/>
        <w:rPr>
          <w:rFonts w:ascii="Arial" w:hAnsi="Arial" w:cs="Arial"/>
          <w:sz w:val="20"/>
          <w:szCs w:val="20"/>
        </w:rPr>
      </w:pPr>
      <w:r w:rsidRPr="007054F5">
        <w:rPr>
          <w:rFonts w:ascii="Arial" w:hAnsi="Arial" w:cs="Arial"/>
          <w:sz w:val="20"/>
          <w:szCs w:val="20"/>
        </w:rPr>
        <w:t xml:space="preserve">For more information, visit our websites at </w:t>
      </w:r>
      <w:hyperlink r:id="rId23" w:history="1">
        <w:r w:rsidRPr="007054F5">
          <w:rPr>
            <w:rStyle w:val="Hyperlink"/>
            <w:rFonts w:ascii="Arial" w:hAnsi="Arial" w:cs="Arial"/>
            <w:sz w:val="20"/>
            <w:szCs w:val="20"/>
          </w:rPr>
          <w:t>http://www.farnell.com/corporate</w:t>
        </w:r>
      </w:hyperlink>
      <w:r w:rsidRPr="007054F5">
        <w:rPr>
          <w:rStyle w:val="Hyperlink"/>
          <w:rFonts w:ascii="Arial" w:hAnsi="Arial" w:cs="Arial"/>
          <w:color w:val="auto"/>
          <w:sz w:val="20"/>
          <w:szCs w:val="20"/>
          <w:u w:val="none"/>
        </w:rPr>
        <w:t xml:space="preserve"> and </w:t>
      </w:r>
      <w:hyperlink r:id="rId24" w:history="1">
        <w:r w:rsidRPr="007054F5">
          <w:rPr>
            <w:rStyle w:val="Hyperlink"/>
            <w:rFonts w:ascii="Arial" w:hAnsi="Arial" w:cs="Arial"/>
            <w:sz w:val="20"/>
            <w:szCs w:val="20"/>
          </w:rPr>
          <w:t>https://www.avnet.com</w:t>
        </w:r>
      </w:hyperlink>
    </w:p>
    <w:p w:rsidR="007054F5" w:rsidRPr="007054F5" w:rsidRDefault="007054F5" w:rsidP="007054F5">
      <w:pPr>
        <w:shd w:val="clear" w:color="auto" w:fill="FFFFFF"/>
        <w:rPr>
          <w:rFonts w:ascii="Arial" w:hAnsi="Arial" w:cs="Arial"/>
          <w:sz w:val="20"/>
          <w:szCs w:val="20"/>
        </w:rPr>
      </w:pPr>
    </w:p>
    <w:p w:rsidR="007054F5" w:rsidRPr="007054F5" w:rsidRDefault="007054F5" w:rsidP="007054F5">
      <w:pPr>
        <w:rPr>
          <w:rFonts w:ascii="Arial" w:hAnsi="Arial" w:cs="Arial"/>
          <w:b/>
          <w:bCs/>
          <w:sz w:val="20"/>
          <w:szCs w:val="20"/>
        </w:rPr>
      </w:pPr>
      <w:r w:rsidRPr="007054F5">
        <w:rPr>
          <w:rFonts w:ascii="Arial" w:hAnsi="Arial" w:cs="Arial"/>
          <w:b/>
          <w:bCs/>
          <w:sz w:val="20"/>
          <w:szCs w:val="20"/>
        </w:rPr>
        <w:t>Contacts for journalists:</w:t>
      </w:r>
    </w:p>
    <w:p w:rsidR="007054F5" w:rsidRPr="007054F5" w:rsidRDefault="007054F5" w:rsidP="007054F5">
      <w:pPr>
        <w:rPr>
          <w:rFonts w:ascii="Arial" w:hAnsi="Arial" w:cs="Arial"/>
          <w:b/>
          <w:bCs/>
          <w:sz w:val="20"/>
          <w:szCs w:val="20"/>
        </w:rPr>
      </w:pPr>
    </w:p>
    <w:p w:rsidR="007054F5" w:rsidRPr="007054F5" w:rsidRDefault="007054F5" w:rsidP="007054F5">
      <w:pPr>
        <w:rPr>
          <w:rFonts w:ascii="Arial" w:hAnsi="Arial" w:cs="Arial"/>
          <w:b/>
          <w:bCs/>
          <w:sz w:val="20"/>
          <w:szCs w:val="20"/>
        </w:rPr>
      </w:pPr>
      <w:proofErr w:type="spellStart"/>
      <w:r w:rsidRPr="007054F5">
        <w:rPr>
          <w:rFonts w:ascii="Arial" w:hAnsi="Arial" w:cs="Arial"/>
          <w:b/>
          <w:sz w:val="20"/>
          <w:szCs w:val="20"/>
        </w:rPr>
        <w:t>Brodeur</w:t>
      </w:r>
      <w:proofErr w:type="spellEnd"/>
      <w:r w:rsidRPr="007054F5">
        <w:rPr>
          <w:rFonts w:ascii="Arial" w:hAnsi="Arial" w:cs="Arial"/>
          <w:b/>
          <w:bCs/>
          <w:sz w:val="20"/>
          <w:szCs w:val="20"/>
        </w:rPr>
        <w:t>:</w:t>
      </w:r>
    </w:p>
    <w:p w:rsidR="007054F5" w:rsidRPr="007054F5" w:rsidRDefault="007054F5" w:rsidP="007054F5">
      <w:pPr>
        <w:rPr>
          <w:rFonts w:ascii="Arial" w:hAnsi="Arial" w:cs="Arial"/>
          <w:b/>
          <w:sz w:val="20"/>
          <w:szCs w:val="20"/>
        </w:rPr>
      </w:pPr>
      <w:r w:rsidRPr="007054F5">
        <w:rPr>
          <w:rFonts w:ascii="Arial" w:hAnsi="Arial" w:cs="Arial"/>
          <w:b/>
          <w:sz w:val="20"/>
          <w:szCs w:val="20"/>
        </w:rPr>
        <w:t>Jamie Ernst</w:t>
      </w:r>
    </w:p>
    <w:p w:rsidR="007054F5" w:rsidRPr="007054F5" w:rsidRDefault="007054F5" w:rsidP="007054F5">
      <w:pPr>
        <w:rPr>
          <w:rFonts w:ascii="Arial" w:hAnsi="Arial" w:cs="Arial"/>
          <w:sz w:val="20"/>
          <w:szCs w:val="20"/>
        </w:rPr>
      </w:pPr>
      <w:r w:rsidRPr="007054F5">
        <w:rPr>
          <w:rFonts w:ascii="Arial" w:hAnsi="Arial" w:cs="Arial"/>
          <w:sz w:val="20"/>
          <w:szCs w:val="20"/>
        </w:rPr>
        <w:t>Tel: (+1) 480.308.0286</w:t>
      </w:r>
    </w:p>
    <w:p w:rsidR="007054F5" w:rsidRPr="007054F5" w:rsidRDefault="007054F5" w:rsidP="007054F5">
      <w:pPr>
        <w:rPr>
          <w:rFonts w:ascii="Arial" w:hAnsi="Arial" w:cs="Arial"/>
          <w:color w:val="333333"/>
          <w:sz w:val="20"/>
          <w:szCs w:val="20"/>
        </w:rPr>
      </w:pPr>
      <w:r w:rsidRPr="007054F5">
        <w:rPr>
          <w:rFonts w:ascii="Arial" w:hAnsi="Arial" w:cs="Arial"/>
          <w:sz w:val="20"/>
          <w:szCs w:val="20"/>
        </w:rPr>
        <w:t xml:space="preserve">Email: </w:t>
      </w:r>
      <w:hyperlink r:id="rId25" w:history="1">
        <w:r w:rsidRPr="007054F5">
          <w:rPr>
            <w:rStyle w:val="Hyperlink"/>
            <w:rFonts w:ascii="Arial" w:hAnsi="Arial" w:cs="Arial"/>
            <w:sz w:val="20"/>
            <w:szCs w:val="20"/>
          </w:rPr>
          <w:t>jernst@brodeur.com</w:t>
        </w:r>
      </w:hyperlink>
      <w:r w:rsidRPr="007054F5">
        <w:rPr>
          <w:rFonts w:ascii="Arial" w:hAnsi="Arial" w:cs="Arial"/>
          <w:color w:val="333333"/>
          <w:sz w:val="20"/>
          <w:szCs w:val="20"/>
        </w:rPr>
        <w:t xml:space="preserve"> </w:t>
      </w:r>
    </w:p>
    <w:p w:rsidR="007054F5" w:rsidRPr="007054F5" w:rsidRDefault="007054F5" w:rsidP="007054F5">
      <w:pPr>
        <w:rPr>
          <w:rFonts w:ascii="Arial" w:hAnsi="Arial" w:cs="Arial"/>
          <w:b/>
          <w:bCs/>
          <w:sz w:val="20"/>
          <w:szCs w:val="20"/>
        </w:rPr>
      </w:pPr>
    </w:p>
    <w:p w:rsidR="007054F5" w:rsidRPr="007054F5" w:rsidRDefault="007054F5" w:rsidP="007054F5">
      <w:pPr>
        <w:rPr>
          <w:rFonts w:ascii="Arial" w:hAnsi="Arial" w:cs="Arial"/>
          <w:b/>
          <w:bCs/>
          <w:sz w:val="20"/>
          <w:szCs w:val="20"/>
        </w:rPr>
      </w:pPr>
      <w:r w:rsidRPr="007054F5">
        <w:rPr>
          <w:rFonts w:ascii="Arial" w:hAnsi="Arial" w:cs="Arial"/>
          <w:b/>
          <w:bCs/>
          <w:sz w:val="20"/>
          <w:szCs w:val="20"/>
        </w:rPr>
        <w:t>Farnell:</w:t>
      </w:r>
    </w:p>
    <w:p w:rsidR="007054F5" w:rsidRPr="007054F5" w:rsidRDefault="007054F5" w:rsidP="007054F5">
      <w:pPr>
        <w:rPr>
          <w:rFonts w:ascii="Arial" w:hAnsi="Arial" w:cs="Arial"/>
          <w:b/>
          <w:bCs/>
          <w:sz w:val="20"/>
          <w:szCs w:val="20"/>
        </w:rPr>
      </w:pPr>
      <w:r w:rsidRPr="007054F5">
        <w:rPr>
          <w:rFonts w:ascii="Arial" w:hAnsi="Arial" w:cs="Arial"/>
          <w:b/>
          <w:bCs/>
          <w:sz w:val="20"/>
          <w:szCs w:val="20"/>
        </w:rPr>
        <w:t>Holly Smart</w:t>
      </w:r>
    </w:p>
    <w:p w:rsidR="007054F5" w:rsidRPr="007054F5" w:rsidRDefault="007054F5" w:rsidP="007054F5">
      <w:pPr>
        <w:rPr>
          <w:rFonts w:ascii="Arial" w:hAnsi="Arial" w:cs="Arial"/>
          <w:b/>
          <w:bCs/>
          <w:sz w:val="20"/>
          <w:szCs w:val="20"/>
        </w:rPr>
      </w:pPr>
      <w:r w:rsidRPr="007054F5">
        <w:rPr>
          <w:rFonts w:ascii="Arial" w:hAnsi="Arial" w:cs="Arial"/>
          <w:b/>
          <w:bCs/>
          <w:sz w:val="20"/>
          <w:szCs w:val="20"/>
        </w:rPr>
        <w:t>Head of PR and External Communications</w:t>
      </w:r>
    </w:p>
    <w:p w:rsidR="007054F5" w:rsidRPr="007054F5" w:rsidRDefault="007054F5" w:rsidP="007054F5">
      <w:pPr>
        <w:rPr>
          <w:rFonts w:ascii="Arial" w:hAnsi="Arial" w:cs="Arial"/>
          <w:bCs/>
          <w:sz w:val="20"/>
          <w:szCs w:val="20"/>
        </w:rPr>
      </w:pPr>
      <w:r w:rsidRPr="007054F5">
        <w:rPr>
          <w:rFonts w:ascii="Arial" w:hAnsi="Arial" w:cs="Arial"/>
          <w:bCs/>
          <w:sz w:val="20"/>
          <w:szCs w:val="20"/>
        </w:rPr>
        <w:t>Tel: +44 113 3485188</w:t>
      </w:r>
    </w:p>
    <w:p w:rsidR="007054F5" w:rsidRPr="007054F5" w:rsidRDefault="007054F5" w:rsidP="007054F5">
      <w:pPr>
        <w:rPr>
          <w:rFonts w:ascii="Arial" w:hAnsi="Arial" w:cs="Arial"/>
          <w:bCs/>
          <w:sz w:val="20"/>
          <w:szCs w:val="20"/>
        </w:rPr>
      </w:pPr>
      <w:r w:rsidRPr="007054F5">
        <w:rPr>
          <w:rFonts w:ascii="Arial" w:hAnsi="Arial" w:cs="Arial"/>
          <w:bCs/>
          <w:sz w:val="20"/>
          <w:szCs w:val="20"/>
        </w:rPr>
        <w:t>Email:</w:t>
      </w:r>
      <w:r w:rsidRPr="007054F5">
        <w:rPr>
          <w:rFonts w:ascii="Arial" w:hAnsi="Arial" w:cs="Arial"/>
          <w:b/>
          <w:bCs/>
          <w:sz w:val="20"/>
          <w:szCs w:val="20"/>
        </w:rPr>
        <w:t> </w:t>
      </w:r>
      <w:hyperlink r:id="rId26" w:history="1">
        <w:r w:rsidRPr="007054F5">
          <w:rPr>
            <w:rStyle w:val="Hyperlink"/>
            <w:rFonts w:ascii="Arial" w:hAnsi="Arial" w:cs="Arial"/>
            <w:sz w:val="20"/>
            <w:szCs w:val="20"/>
          </w:rPr>
          <w:t>hsmart@farnell.com</w:t>
        </w:r>
      </w:hyperlink>
      <w:r w:rsidRPr="007054F5">
        <w:rPr>
          <w:rFonts w:ascii="Arial" w:hAnsi="Arial" w:cs="Arial"/>
          <w:bCs/>
          <w:sz w:val="20"/>
          <w:szCs w:val="20"/>
        </w:rPr>
        <w:t xml:space="preserve">  </w:t>
      </w:r>
    </w:p>
    <w:p w:rsidR="007054F5" w:rsidRPr="007054F5" w:rsidRDefault="007054F5" w:rsidP="007054F5">
      <w:pPr>
        <w:rPr>
          <w:rFonts w:ascii="Arial" w:hAnsi="Arial" w:cs="Arial"/>
          <w:bCs/>
          <w:sz w:val="20"/>
          <w:szCs w:val="20"/>
        </w:rPr>
      </w:pPr>
    </w:p>
    <w:p w:rsidR="007054F5" w:rsidRPr="007054F5" w:rsidRDefault="007054F5" w:rsidP="007054F5">
      <w:pPr>
        <w:rPr>
          <w:rFonts w:ascii="Arial" w:hAnsi="Arial" w:cs="Arial"/>
          <w:b/>
          <w:bCs/>
          <w:sz w:val="20"/>
          <w:szCs w:val="20"/>
        </w:rPr>
      </w:pPr>
      <w:r w:rsidRPr="007054F5">
        <w:rPr>
          <w:rFonts w:ascii="Arial" w:hAnsi="Arial" w:cs="Arial"/>
          <w:b/>
          <w:bCs/>
          <w:sz w:val="20"/>
          <w:szCs w:val="20"/>
        </w:rPr>
        <w:t>Lewis Spencer-Witcomb</w:t>
      </w:r>
    </w:p>
    <w:p w:rsidR="007054F5" w:rsidRPr="007054F5" w:rsidRDefault="007054F5" w:rsidP="007054F5">
      <w:pPr>
        <w:rPr>
          <w:rFonts w:ascii="Arial" w:hAnsi="Arial" w:cs="Arial"/>
          <w:b/>
          <w:bCs/>
          <w:sz w:val="20"/>
          <w:szCs w:val="20"/>
        </w:rPr>
      </w:pPr>
      <w:r w:rsidRPr="007054F5">
        <w:rPr>
          <w:rFonts w:ascii="Arial" w:hAnsi="Arial" w:cs="Arial"/>
          <w:b/>
          <w:bCs/>
          <w:sz w:val="20"/>
          <w:szCs w:val="20"/>
        </w:rPr>
        <w:t>PR Executive</w:t>
      </w:r>
    </w:p>
    <w:p w:rsidR="007054F5" w:rsidRPr="007054F5" w:rsidRDefault="007054F5" w:rsidP="007054F5">
      <w:pPr>
        <w:rPr>
          <w:rFonts w:ascii="Arial" w:hAnsi="Arial" w:cs="Arial"/>
          <w:bCs/>
          <w:sz w:val="20"/>
          <w:szCs w:val="20"/>
        </w:rPr>
      </w:pPr>
      <w:r w:rsidRPr="007054F5">
        <w:rPr>
          <w:rFonts w:ascii="Arial" w:hAnsi="Arial" w:cs="Arial"/>
          <w:bCs/>
          <w:sz w:val="20"/>
          <w:szCs w:val="20"/>
        </w:rPr>
        <w:t>Tel: +44 113 348 4756</w:t>
      </w:r>
    </w:p>
    <w:p w:rsidR="002F208D" w:rsidRPr="007054F5" w:rsidRDefault="007054F5">
      <w:pPr>
        <w:rPr>
          <w:rFonts w:ascii="Arial" w:hAnsi="Arial" w:cs="Arial"/>
          <w:color w:val="0000FF"/>
          <w:sz w:val="20"/>
          <w:szCs w:val="20"/>
          <w:u w:val="single"/>
        </w:rPr>
      </w:pPr>
      <w:r w:rsidRPr="007054F5">
        <w:rPr>
          <w:rFonts w:ascii="Arial" w:hAnsi="Arial" w:cs="Arial"/>
          <w:bCs/>
          <w:sz w:val="20"/>
          <w:szCs w:val="20"/>
        </w:rPr>
        <w:t>Email:</w:t>
      </w:r>
      <w:r w:rsidRPr="007054F5">
        <w:rPr>
          <w:rFonts w:ascii="Arial" w:hAnsi="Arial" w:cs="Arial"/>
          <w:b/>
          <w:bCs/>
          <w:sz w:val="20"/>
          <w:szCs w:val="20"/>
        </w:rPr>
        <w:t> </w:t>
      </w:r>
      <w:hyperlink r:id="rId27" w:history="1">
        <w:r w:rsidRPr="007054F5">
          <w:rPr>
            <w:rStyle w:val="Hyperlink"/>
            <w:rFonts w:ascii="Arial" w:hAnsi="Arial" w:cs="Arial"/>
            <w:sz w:val="20"/>
            <w:szCs w:val="20"/>
          </w:rPr>
          <w:t>lspencer-witcomb@farnell.com</w:t>
        </w:r>
      </w:hyperlink>
      <w:r>
        <w:rPr>
          <w:rFonts w:ascii="Arial" w:hAnsi="Arial" w:cs="Arial"/>
          <w:bCs/>
          <w:sz w:val="20"/>
          <w:szCs w:val="20"/>
        </w:rPr>
        <w:t xml:space="preserve"> </w:t>
      </w:r>
    </w:p>
    <w:sectPr w:rsidR="002F208D" w:rsidRPr="007054F5" w:rsidSect="00467876">
      <w:headerReference w:type="default" r:id="rId28"/>
      <w:pgSz w:w="12240" w:h="15840"/>
      <w:pgMar w:top="720" w:right="720" w:bottom="720" w:left="720" w:header="8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4F5" w:rsidRDefault="007054F5" w:rsidP="007054F5">
      <w:r>
        <w:separator/>
      </w:r>
    </w:p>
  </w:endnote>
  <w:endnote w:type="continuationSeparator" w:id="0">
    <w:p w:rsidR="007054F5" w:rsidRDefault="007054F5" w:rsidP="0070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4F5" w:rsidRDefault="007054F5" w:rsidP="007054F5">
      <w:r>
        <w:separator/>
      </w:r>
    </w:p>
  </w:footnote>
  <w:footnote w:type="continuationSeparator" w:id="0">
    <w:p w:rsidR="007054F5" w:rsidRDefault="007054F5" w:rsidP="00705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876" w:rsidRDefault="00764801" w:rsidP="009711A2">
    <w:pPr>
      <w:tabs>
        <w:tab w:val="center" w:pos="2052"/>
      </w:tabs>
      <w:rPr>
        <w:noProof/>
        <w:lang w:eastAsia="en-GB"/>
      </w:rPr>
    </w:pPr>
    <w:r w:rsidRPr="0055190A">
      <w:rPr>
        <w:noProof/>
        <w:lang w:val="en-GB" w:eastAsia="en-GB"/>
      </w:rPr>
      <w:drawing>
        <wp:anchor distT="0" distB="0" distL="114300" distR="114300" simplePos="0" relativeHeight="251659264" behindDoc="0" locked="0" layoutInCell="1" allowOverlap="1" wp14:anchorId="6E18D024" wp14:editId="48F5F5A8">
          <wp:simplePos x="0" y="0"/>
          <wp:positionH relativeFrom="margin">
            <wp:posOffset>4873625</wp:posOffset>
          </wp:positionH>
          <wp:positionV relativeFrom="paragraph">
            <wp:posOffset>-328295</wp:posOffset>
          </wp:positionV>
          <wp:extent cx="1984375" cy="679450"/>
          <wp:effectExtent l="0" t="0" r="0" b="6350"/>
          <wp:wrapSquare wrapText="bothSides"/>
          <wp:docPr id="2" name="Picture 2" descr="C:\Users\LSpencerWitcomb\Documents\Lewis Docs\Re-Brand Templates\Logos\Newark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Newark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679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58AA">
      <w:rPr>
        <w:noProof/>
        <w:lang w:val="en-GB" w:eastAsia="en-GB"/>
      </w:rPr>
      <w:drawing>
        <wp:anchor distT="0" distB="0" distL="114300" distR="114300" simplePos="0" relativeHeight="251660288" behindDoc="1" locked="0" layoutInCell="1" allowOverlap="1" wp14:anchorId="1EDDFC2F" wp14:editId="45205BDC">
          <wp:simplePos x="0" y="0"/>
          <wp:positionH relativeFrom="margin">
            <wp:posOffset>0</wp:posOffset>
          </wp:positionH>
          <wp:positionV relativeFrom="paragraph">
            <wp:posOffset>-349250</wp:posOffset>
          </wp:positionV>
          <wp:extent cx="2032000" cy="685165"/>
          <wp:effectExtent l="0" t="0" r="6350" b="635"/>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3200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tab/>
    </w:r>
  </w:p>
  <w:p w:rsidR="006828E4" w:rsidRDefault="00764801">
    <w:pPr>
      <w:pStyle w:val="Header"/>
    </w:pPr>
  </w:p>
  <w:p w:rsidR="007054F5" w:rsidRDefault="007054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C6DBF"/>
    <w:multiLevelType w:val="hybridMultilevel"/>
    <w:tmpl w:val="6A96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F5"/>
    <w:rsid w:val="002F208D"/>
    <w:rsid w:val="007054F5"/>
    <w:rsid w:val="00764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FEFF1-1918-4201-B7FA-945BD40F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4F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4F5"/>
    <w:pPr>
      <w:tabs>
        <w:tab w:val="center" w:pos="4680"/>
        <w:tab w:val="right" w:pos="9360"/>
      </w:tabs>
    </w:pPr>
  </w:style>
  <w:style w:type="character" w:customStyle="1" w:styleId="HeaderChar">
    <w:name w:val="Header Char"/>
    <w:basedOn w:val="DefaultParagraphFont"/>
    <w:link w:val="Header"/>
    <w:uiPriority w:val="99"/>
    <w:rsid w:val="007054F5"/>
    <w:rPr>
      <w:rFonts w:ascii="Times New Roman" w:eastAsia="Times New Roman" w:hAnsi="Times New Roman" w:cs="Times New Roman"/>
      <w:sz w:val="24"/>
      <w:szCs w:val="24"/>
      <w:lang w:val="en-US"/>
    </w:rPr>
  </w:style>
  <w:style w:type="character" w:styleId="Hyperlink">
    <w:name w:val="Hyperlink"/>
    <w:uiPriority w:val="99"/>
    <w:rsid w:val="007054F5"/>
    <w:rPr>
      <w:color w:val="0000FF"/>
      <w:u w:val="single"/>
    </w:rPr>
  </w:style>
  <w:style w:type="paragraph" w:styleId="Footer">
    <w:name w:val="footer"/>
    <w:basedOn w:val="Normal"/>
    <w:link w:val="FooterChar"/>
    <w:uiPriority w:val="99"/>
    <w:unhideWhenUsed/>
    <w:rsid w:val="007054F5"/>
    <w:pPr>
      <w:tabs>
        <w:tab w:val="center" w:pos="4513"/>
        <w:tab w:val="right" w:pos="9026"/>
      </w:tabs>
    </w:pPr>
  </w:style>
  <w:style w:type="character" w:customStyle="1" w:styleId="FooterChar">
    <w:name w:val="Footer Char"/>
    <w:basedOn w:val="DefaultParagraphFont"/>
    <w:link w:val="Footer"/>
    <w:uiPriority w:val="99"/>
    <w:rsid w:val="007054F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054F5"/>
    <w:pPr>
      <w:suppressAutoHyphens/>
      <w:spacing w:after="200" w:line="276" w:lineRule="auto"/>
      <w:ind w:left="720"/>
      <w:contextualSpacing/>
    </w:pPr>
    <w:rPr>
      <w:rFonts w:eastAsia="Arial Unicode MS" w:cs="Arial Unicode MS"/>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ark.com/monolithic-power-systems-mps/mpm3822cgrh-p/dc-dc-conv-sync-buck-1-15mhz-150deg/dp/54AH3190?scope=partnumberlookahead&amp;ost=MPM3822CGRH-P&amp;searchref=searchlookahead&amp;exaMfpn=true" TargetMode="External"/><Relationship Id="rId13" Type="http://schemas.openxmlformats.org/officeDocument/2006/relationships/hyperlink" Target="https://www.newark.com/b/monolithic-power-systems-mps" TargetMode="External"/><Relationship Id="rId18" Type="http://schemas.openxmlformats.org/officeDocument/2006/relationships/hyperlink" Target="http://www.newark.com/" TargetMode="External"/><Relationship Id="rId26" Type="http://schemas.openxmlformats.org/officeDocument/2006/relationships/hyperlink" Target="mailto:hsmart@farnell.com" TargetMode="External"/><Relationship Id="rId3" Type="http://schemas.openxmlformats.org/officeDocument/2006/relationships/settings" Target="settings.xml"/><Relationship Id="rId21" Type="http://schemas.openxmlformats.org/officeDocument/2006/relationships/hyperlink" Target="https://www.avnet.com/" TargetMode="External"/><Relationship Id="rId7" Type="http://schemas.openxmlformats.org/officeDocument/2006/relationships/hyperlink" Target="http://www.newark.com/" TargetMode="External"/><Relationship Id="rId12" Type="http://schemas.openxmlformats.org/officeDocument/2006/relationships/hyperlink" Target="https://sg.element14.com/b/monolithic-power-systems-mps" TargetMode="External"/><Relationship Id="rId17" Type="http://schemas.openxmlformats.org/officeDocument/2006/relationships/hyperlink" Target="http://uk.farnell.com/" TargetMode="External"/><Relationship Id="rId25" Type="http://schemas.openxmlformats.org/officeDocument/2006/relationships/hyperlink" Target="mailto:jernst@brodeur.com" TargetMode="External"/><Relationship Id="rId2" Type="http://schemas.openxmlformats.org/officeDocument/2006/relationships/styles" Target="styles.xml"/><Relationship Id="rId16" Type="http://schemas.openxmlformats.org/officeDocument/2006/relationships/hyperlink" Target="http://www.farnell.com/corporate" TargetMode="External"/><Relationship Id="rId20" Type="http://schemas.openxmlformats.org/officeDocument/2006/relationships/hyperlink" Target="http://cpc.farnell.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farnell.com/b/monolithic-power-systems-mps" TargetMode="External"/><Relationship Id="rId24" Type="http://schemas.openxmlformats.org/officeDocument/2006/relationships/hyperlink" Target="https://www.avnet.com" TargetMode="External"/><Relationship Id="rId5" Type="http://schemas.openxmlformats.org/officeDocument/2006/relationships/footnotes" Target="footnotes.xml"/><Relationship Id="rId15" Type="http://schemas.openxmlformats.org/officeDocument/2006/relationships/hyperlink" Target="http://www.newark.com/" TargetMode="External"/><Relationship Id="rId23" Type="http://schemas.openxmlformats.org/officeDocument/2006/relationships/hyperlink" Target="http://www.farnell.com/corporate" TargetMode="External"/><Relationship Id="rId28" Type="http://schemas.openxmlformats.org/officeDocument/2006/relationships/header" Target="header1.xml"/><Relationship Id="rId10" Type="http://schemas.openxmlformats.org/officeDocument/2006/relationships/hyperlink" Target="https://www.newark.com/monolithic-power-systems-mps/mpm3695grf-25-0022/dc-dc-conv-20a-500khz-125deg-c/dp/69AH1518?ost=MPM3695GRF-25-0022" TargetMode="External"/><Relationship Id="rId19" Type="http://schemas.openxmlformats.org/officeDocument/2006/relationships/hyperlink" Target="http://sg.element14.com/" TargetMode="External"/><Relationship Id="rId4" Type="http://schemas.openxmlformats.org/officeDocument/2006/relationships/webSettings" Target="webSettings.xml"/><Relationship Id="rId9" Type="http://schemas.openxmlformats.org/officeDocument/2006/relationships/hyperlink" Target="https://www.newark.com/monolithic-power-systems-mps/mpm38111gr-p/dc-dc-conv-sync-buck-1mhz-125deg/dp/54AH3188?scope=partnumberlookahead&amp;ost=MPM38111GR-P&amp;searchref=searchlookahead&amp;exaMfpn=true" TargetMode="External"/><Relationship Id="rId14" Type="http://schemas.openxmlformats.org/officeDocument/2006/relationships/hyperlink" Target="http://www.element14.com/news" TargetMode="External"/><Relationship Id="rId22" Type="http://schemas.openxmlformats.org/officeDocument/2006/relationships/hyperlink" Target="https://ir.avnet.com/" TargetMode="External"/><Relationship Id="rId27" Type="http://schemas.openxmlformats.org/officeDocument/2006/relationships/hyperlink" Target="mailto:lspencer-witcomb@farnell.co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2</cp:revision>
  <dcterms:created xsi:type="dcterms:W3CDTF">2020-06-01T15:38:00Z</dcterms:created>
  <dcterms:modified xsi:type="dcterms:W3CDTF">2020-06-01T15:44:00Z</dcterms:modified>
</cp:coreProperties>
</file>